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mc:Ignorable="w14 w15 wp14">
  <!-- Generated by Spire.Doc -->
  <w:body>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72"/>
        </w:rPr>
        <w:t xml:space="preserve">天津市滨海新区财政局</w:t>
      </w:r>
    </w:p>
    <w:p>
      <w:pPr>
        <w:spacing w:before="0" w:after="0" w:line="240"/>
        <w:ind w:firstLine="0"/>
        <w:jc w:val="center"/>
        <w:outlineLvl w:val="9"/>
      </w:pPr>
      <w:r>
        <w:rPr>
          <w:rFonts w:ascii="方正小标宋_GBK" w:eastAsia="方正小标宋_GBK" w:hAnsi="方正小标宋_GBK" w:cs="方正小标宋_GBK"/>
          <w:sz w:val="72"/>
        </w:rPr>
        <w:t xml:space="preserve">2026年部门预算绩效文本</w:t>
      </w:r>
    </w:p>
    <w:p>
      <w:pPr>
        <w:spacing w:before="0" w:after="0" w:line="240"/>
        <w:ind w:firstLine="0"/>
        <w:jc w:val="center"/>
        <w:outlineLvl w:val="9"/>
      </w:pP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方正楷体_GBK" w:eastAsia="方正楷体_GBK" w:hAnsi="方正楷体_GBK" w:cs="方正楷体_GBK"/>
          <w:b/>
          <w:sz w:val="32"/>
        </w:rPr>
        <w:t xml:space="preserve">天津市滨海新区财政局编制</w:t>
      </w:r>
    </w:p>
    <w:p>
      <w:pPr>
        <w:spacing w:before="0" w:after="0" w:line="240"/>
        <w:ind w:firstLine="0"/>
        <w:jc w:val="center"/>
        <w:outlineLvl w:val="9"/>
        <w:sectPr>
          <w:type w:val="nextPage"/>
          <w:pgSz w:w="11900" w:h="16840" w:orient="portrait"/>
          <w:pgMar w:top="1984" w:right="1304" w:bottom="1134" w:left="1304" w:header="720" w:footer="720" w:gutter="0"/>
          <w:titlePg/>
        </w:sectPr>
      </w:pPr>
      <w:r>
        <w:rPr>
          <w:rFonts w:ascii="方正楷体_GBK" w:eastAsia="方正楷体_GBK" w:hAnsi="方正楷体_GBK" w:cs="方正楷体_GBK"/>
          <w:b/>
          <w:sz w:val="32"/>
        </w:rPr>
        <w:t xml:space="preserve">审核</w:t>
      </w:r>
    </w:p>
    <w:p>
      <w:pPr>
        <w:spacing w:before="0" w:after="0" w:line="240"/>
        <w:ind w:firstLine="0"/>
        <w:jc w:val="center"/>
        <w:outlineLvl w:val="9"/>
        <w:sectPr>
          <w:type w:val="nextPage"/>
          <w:pgSz w:w="11900" w:h="16840" w:orient="portrait"/>
          <w:pgMar w:top="1984" w:right="1304" w:bottom="1134" w:left="1304" w:header="720" w:footer="720" w:gutter="0"/>
          <w:titlePg/>
        </w:sectPr>
      </w:pPr>
    </w:p>
    <w:p>
      <w:pPr>
        <w:spacing w:before="0" w:after="0" w:line="240"/>
        <w:ind w:firstLine="0"/>
        <w:jc w:val="center"/>
        <w:outlineLvl w:val="9"/>
      </w:pPr>
      <w:r>
        <w:rPr>
          <w:rFonts w:ascii="方正小标宋_GBK" w:eastAsia="方正小标宋_GBK" w:hAnsi="方正小标宋_GBK" w:cs="方正小标宋_GBK"/>
          <w:sz w:val="36"/>
        </w:rPr>
        <w:t xml:space="preserve"> </w:t>
      </w:r>
    </w:p>
    <w:p>
      <w:pPr>
        <w:spacing w:before="0" w:after="0" w:line="240"/>
        <w:ind w:firstLine="0"/>
        <w:jc w:val="center"/>
        <w:outlineLvl w:val="0"/>
      </w:pPr>
      <w:r>
        <w:rPr>
          <w:rFonts w:ascii="方正小标宋_GBK" w:eastAsia="方正小标宋_GBK" w:hAnsi="方正小标宋_GBK" w:cs="方正小标宋_GBK"/>
          <w:sz w:val="36"/>
        </w:rPr>
        <w:t xml:space="preserve">目    录</w:t>
      </w:r>
    </w:p>
    <w:p>
      <w:pPr>
        <w:spacing w:before="0" w:after="0" w:line="240"/>
        <w:ind w:firstLine="0"/>
        <w:jc w:val="center"/>
        <w:outlineLvl w:val="9"/>
      </w:pPr>
      <w:r>
        <w:rPr>
          <w:rFonts w:ascii="方正小标宋_GBK" w:eastAsia="方正小标宋_GBK" w:hAnsi="方正小标宋_GBK" w:cs="方正小标宋_GBK"/>
          <w:sz w:val="30"/>
        </w:rPr>
        <w:t xml:space="preserve"> </w:t>
      </w:r>
    </w:p>
    <w:p>
      <w:pPr>
        <w:spacing w:before="0" w:after="0" w:line="240"/>
        <w:ind w:firstLine="0"/>
        <w:jc w:val="center"/>
        <w:outlineLvl w:val="9"/>
      </w:pPr>
      <w:r>
        <w:rPr>
          <w:rFonts w:ascii="方正小标宋_GBK" w:eastAsia="方正小标宋_GBK" w:hAnsi="方正小标宋_GBK" w:cs="方正小标宋_GBK"/>
          <w:sz w:val="30"/>
        </w:rPr>
        <w:t xml:space="preserve">第一部分 部门整体绩效目标</w:t>
      </w:r>
    </w:p>
    <w:p>
      <w:pPr>
        <w:pStyle w:val="TOC1"/>
        <w:tabs>
          <w:tab w:val="right" w:leader="dot" w:pos="9282"/>
        </w:tabs>
      </w:pPr>
      <w:r>
        <w:fldChar w:fldCharType="begin"/>
      </w:r>
      <w:r>
        <w:instrText xml:space="preserve">TOC \o "2-2" \h \z \u</w:instrText>
      </w:r>
      <w:r>
        <w:fldChar w:fldCharType="separate"/>
      </w:r>
      <w:hyperlink w:anchor="_Toc_2_2_0000000001" w:history="1">
        <w:r>
          <w:rPr/>
          <w:t xml:space="preserve">一、总体绩效目标</w:t>
        </w:r>
        <w:r>
          <w:tab/>
        </w:r>
        <w:r>
          <w:fldChar w:fldCharType="begin"/>
        </w:r>
        <w:r>
          <w:instrText xml:space="preserve">PAGEREF _Toc_2_2_0000000001 \h</w:instrText>
        </w:r>
        <w:r>
          <w:fldChar w:fldCharType="separate"/>
        </w:r>
        <w:r>
          <w:t xml:space="preserve">2</w:t>
        </w:r>
        <w:r>
          <w:fldChar w:fldCharType="end"/>
        </w:r>
      </w:hyperlink>
    </w:p>
    <w:p>
      <w:pPr>
        <w:pStyle w:val="TOC1"/>
        <w:tabs>
          <w:tab w:val="right" w:leader="dot" w:pos="9282"/>
        </w:tabs>
      </w:pPr>
      <w:hyperlink w:anchor="_Toc_2_2_0000000002" w:history="1">
        <w:r>
          <w:rPr/>
          <w:t xml:space="preserve">二、分项绩效目标</w:t>
        </w:r>
        <w:r>
          <w:tab/>
        </w:r>
        <w:r>
          <w:fldChar w:fldCharType="begin"/>
        </w:r>
        <w:r>
          <w:instrText xml:space="preserve">PAGEREF _Toc_2_2_0000000002 \h</w:instrText>
        </w:r>
        <w:r>
          <w:fldChar w:fldCharType="separate"/>
        </w:r>
        <w:r>
          <w:t xml:space="preserve">2</w:t>
        </w:r>
        <w:r>
          <w:fldChar w:fldCharType="end"/>
        </w:r>
      </w:hyperlink>
    </w:p>
    <w:p>
      <w:pPr>
        <w:pStyle w:val="TOC1"/>
        <w:tabs>
          <w:tab w:val="right" w:leader="dot" w:pos="9282"/>
        </w:tabs>
      </w:pPr>
      <w:hyperlink w:anchor="_Toc_2_2_0000000003" w:history="1">
        <w:r>
          <w:rPr/>
          <w:t xml:space="preserve">三、工作保障措施</w:t>
        </w:r>
        <w:r>
          <w:tab/>
        </w:r>
        <w:r>
          <w:fldChar w:fldCharType="begin"/>
        </w:r>
        <w:r>
          <w:instrText xml:space="preserve">PAGEREF _Toc_2_2_0000000003 \h</w:instrText>
        </w:r>
        <w:r>
          <w:fldChar w:fldCharType="separate"/>
        </w:r>
        <w:r>
          <w:t xml:space="preserve">2</w:t>
        </w:r>
        <w:r>
          <w:fldChar w:fldCharType="end"/>
        </w:r>
      </w:hyperlink>
    </w:p>
    <w:p>
      <w:pPr/>
      <w:r>
        <w:fldChar w:fldCharType="end"/>
      </w:r>
    </w:p>
    <w:p>
      <w:pPr>
        <w:spacing w:before="0" w:after="0" w:line="240"/>
        <w:ind w:firstLine="0"/>
        <w:jc w:val="center"/>
        <w:outlineLvl w:val="9"/>
      </w:pPr>
      <w:r>
        <w:rPr>
          <w:rFonts w:ascii="方正小标宋_GBK" w:eastAsia="方正小标宋_GBK" w:hAnsi="方正小标宋_GBK" w:cs="方正小标宋_GBK"/>
          <w:sz w:val="30"/>
        </w:rPr>
        <w:t xml:space="preserve">第二部分 预算项目绩效目标</w:t>
      </w:r>
    </w:p>
    <w:p>
      <w:pPr>
        <w:pStyle w:val="TOC1"/>
        <w:tabs>
          <w:tab w:val="right" w:leader="dot" w:pos="9282"/>
        </w:tabs>
      </w:pPr>
      <w:r>
        <w:fldChar w:fldCharType="begin"/>
      </w:r>
      <w:r>
        <w:instrText xml:space="preserve">TOC \o "4-4" \h \z \u</w:instrText>
      </w:r>
      <w:r>
        <w:fldChar w:fldCharType="separate"/>
      </w:r>
      <w:hyperlink w:anchor="_Toc_4_4_0000000004" w:history="1">
        <w:r>
          <w:rPr/>
          <w:t xml:space="preserve">1.2026年财政信息系统网络及运维经费绩效目标表</w:t>
        </w:r>
        <w:r>
          <w:tab/>
        </w:r>
        <w:r>
          <w:fldChar w:fldCharType="begin"/>
        </w:r>
        <w:r>
          <w:instrText xml:space="preserve">PAGEREF _Toc_4_4_0000000004 \h</w:instrText>
        </w:r>
        <w:r>
          <w:fldChar w:fldCharType="separate"/>
        </w:r>
        <w:r>
          <w:t xml:space="preserve">4</w:t>
        </w:r>
        <w:r>
          <w:fldChar w:fldCharType="end"/>
        </w:r>
      </w:hyperlink>
    </w:p>
    <w:p>
      <w:pPr>
        <w:pStyle w:val="TOC1"/>
        <w:tabs>
          <w:tab w:val="right" w:leader="dot" w:pos="9282"/>
        </w:tabs>
      </w:pPr>
      <w:hyperlink w:anchor="_Toc_4_4_0000000005" w:history="1">
        <w:r>
          <w:rPr/>
          <w:t xml:space="preserve">2.2026年财政国库集中支付代理银行手续费绩效目标表</w:t>
        </w:r>
        <w:r>
          <w:tab/>
        </w:r>
        <w:r>
          <w:fldChar w:fldCharType="begin"/>
        </w:r>
        <w:r>
          <w:instrText xml:space="preserve">PAGEREF _Toc_4_4_0000000005 \h</w:instrText>
        </w:r>
        <w:r>
          <w:fldChar w:fldCharType="separate"/>
        </w:r>
        <w:r>
          <w:t xml:space="preserve">6</w:t>
        </w:r>
        <w:r>
          <w:fldChar w:fldCharType="end"/>
        </w:r>
      </w:hyperlink>
    </w:p>
    <w:p>
      <w:pPr>
        <w:pStyle w:val="TOC1"/>
        <w:tabs>
          <w:tab w:val="right" w:leader="dot" w:pos="9282"/>
        </w:tabs>
      </w:pPr>
      <w:hyperlink w:anchor="_Toc_4_4_0000000006" w:history="1">
        <w:r>
          <w:rPr/>
          <w:t xml:space="preserve">3.2026年财政信息系统建设专项经费绩效目标表</w:t>
        </w:r>
        <w:r>
          <w:tab/>
        </w:r>
        <w:r>
          <w:fldChar w:fldCharType="begin"/>
        </w:r>
        <w:r>
          <w:instrText xml:space="preserve">PAGEREF _Toc_4_4_0000000006 \h</w:instrText>
        </w:r>
        <w:r>
          <w:fldChar w:fldCharType="separate"/>
        </w:r>
        <w:r>
          <w:t xml:space="preserve">7</w:t>
        </w:r>
        <w:r>
          <w:fldChar w:fldCharType="end"/>
        </w:r>
      </w:hyperlink>
    </w:p>
    <w:p>
      <w:pPr>
        <w:pStyle w:val="TOC1"/>
        <w:tabs>
          <w:tab w:val="right" w:leader="dot" w:pos="9282"/>
        </w:tabs>
      </w:pPr>
      <w:hyperlink w:anchor="_Toc_4_4_0000000007" w:history="1">
        <w:r>
          <w:rPr/>
          <w:t xml:space="preserve">4.2026年防范和处置非法集资工作专项经费绩效目标表</w:t>
        </w:r>
        <w:r>
          <w:tab/>
        </w:r>
        <w:r>
          <w:fldChar w:fldCharType="begin"/>
        </w:r>
        <w:r>
          <w:instrText xml:space="preserve">PAGEREF _Toc_4_4_0000000007 \h</w:instrText>
        </w:r>
        <w:r>
          <w:fldChar w:fldCharType="separate"/>
        </w:r>
        <w:r>
          <w:t xml:space="preserve">8</w:t>
        </w:r>
        <w:r>
          <w:fldChar w:fldCharType="end"/>
        </w:r>
      </w:hyperlink>
    </w:p>
    <w:p>
      <w:pPr>
        <w:pStyle w:val="TOC1"/>
        <w:tabs>
          <w:tab w:val="right" w:leader="dot" w:pos="9282"/>
        </w:tabs>
      </w:pPr>
      <w:hyperlink w:anchor="_Toc_4_4_0000000008" w:history="1">
        <w:r>
          <w:rPr/>
          <w:t xml:space="preserve">5.2026年评估专项经费绩效目标表</w:t>
        </w:r>
        <w:r>
          <w:tab/>
        </w:r>
        <w:r>
          <w:fldChar w:fldCharType="begin"/>
        </w:r>
        <w:r>
          <w:instrText xml:space="preserve">PAGEREF _Toc_4_4_0000000008 \h</w:instrText>
        </w:r>
        <w:r>
          <w:fldChar w:fldCharType="separate"/>
        </w:r>
        <w:r>
          <w:t xml:space="preserve">9</w:t>
        </w:r>
        <w:r>
          <w:fldChar w:fldCharType="end"/>
        </w:r>
      </w:hyperlink>
    </w:p>
    <w:p>
      <w:pPr>
        <w:pStyle w:val="TOC1"/>
        <w:tabs>
          <w:tab w:val="right" w:leader="dot" w:pos="9282"/>
        </w:tabs>
      </w:pPr>
      <w:hyperlink w:anchor="_Toc_4_4_0000000009" w:history="1">
        <w:r>
          <w:rPr/>
          <w:t xml:space="preserve">6.滨海新区金融业创新发展“十五五”规划经费（高质量发展专项资金）绩效目标表</w:t>
        </w:r>
        <w:r>
          <w:tab/>
        </w:r>
        <w:r>
          <w:fldChar w:fldCharType="begin"/>
        </w:r>
        <w:r>
          <w:instrText xml:space="preserve">PAGEREF _Toc_4_4_0000000009 \h</w:instrText>
        </w:r>
        <w:r>
          <w:fldChar w:fldCharType="separate"/>
        </w:r>
        <w:r>
          <w:t xml:space="preserve">11</w:t>
        </w:r>
        <w:r>
          <w:fldChar w:fldCharType="end"/>
        </w:r>
      </w:hyperlink>
    </w:p>
    <w:p>
      <w:pPr>
        <w:pStyle w:val="TOC1"/>
        <w:tabs>
          <w:tab w:val="right" w:leader="dot" w:pos="9282"/>
        </w:tabs>
      </w:pPr>
      <w:hyperlink w:anchor="_Toc_4_4_0000000010" w:history="1">
        <w:r>
          <w:rPr/>
          <w:t xml:space="preserve">7.2026年财政信息系统运维经费绩效目标表</w:t>
        </w:r>
        <w:r>
          <w:tab/>
        </w:r>
        <w:r>
          <w:fldChar w:fldCharType="begin"/>
        </w:r>
        <w:r>
          <w:instrText xml:space="preserve">PAGEREF _Toc_4_4_0000000010 \h</w:instrText>
        </w:r>
        <w:r>
          <w:fldChar w:fldCharType="separate"/>
        </w:r>
        <w:r>
          <w:t xml:space="preserve">12</w:t>
        </w:r>
        <w:r>
          <w:fldChar w:fldCharType="end"/>
        </w:r>
      </w:hyperlink>
    </w:p>
    <w:p>
      <w:pPr>
        <w:pStyle w:val="TOC1"/>
        <w:tabs>
          <w:tab w:val="right" w:leader="dot" w:pos="9282"/>
        </w:tabs>
      </w:pPr>
      <w:hyperlink w:anchor="_Toc_4_4_0000000011" w:history="1">
        <w:r>
          <w:rPr/>
          <w:t xml:space="preserve">8.2026年政府采购工作专项经费绩效目标表</w:t>
        </w:r>
        <w:r>
          <w:tab/>
        </w:r>
        <w:r>
          <w:fldChar w:fldCharType="begin"/>
        </w:r>
        <w:r>
          <w:instrText xml:space="preserve">PAGEREF _Toc_4_4_0000000011 \h</w:instrText>
        </w:r>
        <w:r>
          <w:fldChar w:fldCharType="separate"/>
        </w:r>
        <w:r>
          <w:t xml:space="preserve">13</w:t>
        </w:r>
        <w:r>
          <w:fldChar w:fldCharType="end"/>
        </w:r>
      </w:hyperlink>
    </w:p>
    <w:p>
      <w:pPr>
        <w:pStyle w:val="TOC1"/>
        <w:tabs>
          <w:tab w:val="right" w:leader="dot" w:pos="9282"/>
        </w:tabs>
      </w:pPr>
      <w:hyperlink w:anchor="_Toc_4_4_0000000012" w:history="1">
        <w:r>
          <w:rPr/>
          <w:t xml:space="preserve">9.2026年编制外长聘人员经费项目（机关事业单位辅助人员）绩效目标表</w:t>
        </w:r>
        <w:r>
          <w:tab/>
        </w:r>
        <w:r>
          <w:fldChar w:fldCharType="begin"/>
        </w:r>
        <w:r>
          <w:instrText xml:space="preserve">PAGEREF _Toc_4_4_0000000012 \h</w:instrText>
        </w:r>
        <w:r>
          <w:fldChar w:fldCharType="separate"/>
        </w:r>
        <w:r>
          <w:t xml:space="preserve">14</w:t>
        </w:r>
        <w:r>
          <w:fldChar w:fldCharType="end"/>
        </w:r>
      </w:hyperlink>
    </w:p>
    <w:p>
      <w:pPr>
        <w:pStyle w:val="TOC1"/>
        <w:tabs>
          <w:tab w:val="right" w:leader="dot" w:pos="9282"/>
        </w:tabs>
      </w:pPr>
      <w:hyperlink w:anchor="_Toc_4_4_0000000013" w:history="1">
        <w:r>
          <w:rPr/>
          <w:t xml:space="preserve">10.2026年绩效管理服务费绩效目标表</w:t>
        </w:r>
        <w:r>
          <w:tab/>
        </w:r>
        <w:r>
          <w:fldChar w:fldCharType="begin"/>
        </w:r>
        <w:r>
          <w:instrText xml:space="preserve">PAGEREF _Toc_4_4_0000000013 \h</w:instrText>
        </w:r>
        <w:r>
          <w:fldChar w:fldCharType="separate"/>
        </w:r>
        <w:r>
          <w:t xml:space="preserve">15</w:t>
        </w:r>
        <w:r>
          <w:fldChar w:fldCharType="end"/>
        </w:r>
      </w:hyperlink>
    </w:p>
    <w:p>
      <w:pPr>
        <w:pStyle w:val="TOC1"/>
        <w:tabs>
          <w:tab w:val="right" w:leader="dot" w:pos="9282"/>
        </w:tabs>
      </w:pPr>
      <w:hyperlink w:anchor="_Toc_4_4_0000000014" w:history="1">
        <w:r>
          <w:rPr/>
          <w:t xml:space="preserve">11.2026年政府投资项目评审工作专项经费绩效目标表</w:t>
        </w:r>
        <w:r>
          <w:tab/>
        </w:r>
        <w:r>
          <w:fldChar w:fldCharType="begin"/>
        </w:r>
        <w:r>
          <w:instrText xml:space="preserve">PAGEREF _Toc_4_4_0000000014 \h</w:instrText>
        </w:r>
        <w:r>
          <w:fldChar w:fldCharType="separate"/>
        </w:r>
        <w:r>
          <w:t xml:space="preserve">16</w:t>
        </w:r>
        <w:r>
          <w:fldChar w:fldCharType="end"/>
        </w:r>
      </w:hyperlink>
    </w:p>
    <w:p>
      <w:pPr>
        <w:pStyle w:val="TOC1"/>
        <w:tabs>
          <w:tab w:val="right" w:leader="dot" w:pos="9282"/>
        </w:tabs>
      </w:pPr>
      <w:hyperlink w:anchor="_Toc_4_4_0000000015" w:history="1">
        <w:r>
          <w:rPr/>
          <w:t xml:space="preserve">12.2026年编制外长聘人员经费项目（机关事业单位辅助人员）绩效目标表</w:t>
        </w:r>
        <w:r>
          <w:tab/>
        </w:r>
        <w:r>
          <w:fldChar w:fldCharType="begin"/>
        </w:r>
        <w:r>
          <w:instrText xml:space="preserve">PAGEREF _Toc_4_4_0000000015 \h</w:instrText>
        </w:r>
        <w:r>
          <w:fldChar w:fldCharType="separate"/>
        </w:r>
        <w:r>
          <w:t xml:space="preserve">17</w:t>
        </w:r>
        <w:r>
          <w:fldChar w:fldCharType="end"/>
        </w:r>
      </w:hyperlink>
    </w:p>
    <w:p>
      <w:pPr>
        <w:pStyle w:val="TOC1"/>
        <w:tabs>
          <w:tab w:val="right" w:leader="dot" w:pos="9282"/>
        </w:tabs>
      </w:pPr>
      <w:hyperlink w:anchor="_Toc_4_4_0000000016" w:history="1">
        <w:r>
          <w:rPr/>
          <w:t xml:space="preserve">13.2026年防范金融风险专项经费绩效目标表</w:t>
        </w:r>
        <w:r>
          <w:tab/>
        </w:r>
        <w:r>
          <w:fldChar w:fldCharType="begin"/>
        </w:r>
        <w:r>
          <w:instrText xml:space="preserve">PAGEREF _Toc_4_4_0000000016 \h</w:instrText>
        </w:r>
        <w:r>
          <w:fldChar w:fldCharType="separate"/>
        </w:r>
        <w:r>
          <w:t xml:space="preserve">18</w:t>
        </w:r>
        <w:r>
          <w:fldChar w:fldCharType="end"/>
        </w:r>
      </w:hyperlink>
    </w:p>
    <w:p>
      <w:pPr>
        <w:sectPr>
          <w:footerReference w:type="even" r:id="rId31"/>
          <w:footerReference w:type="default" r:id="rId32"/>
          <w:type w:val="nextPage"/>
          <w:pgSz w:w="11900" w:h="16840" w:orient="portrait"/>
          <w:pgMar w:top="1984" w:right="1304" w:bottom="1134" w:left="1304" w:header="720" w:footer="720" w:gutter="0"/>
          <w:pgNumType w:start="1"/>
        </w:sectPr>
      </w:pPr>
      <w:r>
        <w:fldChar w:fldCharType="end"/>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第一部分</w:t>
      </w:r>
    </w:p>
    <w:p>
      <w:pPr>
        <w:spacing w:before="0" w:after="0" w:line="240"/>
        <w:ind w:firstLine="0"/>
        <w:jc w:val="center"/>
        <w:outlineLvl w:val="0"/>
      </w:pPr>
      <w:r>
        <w:rPr>
          <w:rFonts w:ascii="方正小标宋_GBK" w:eastAsia="方正小标宋_GBK" w:hAnsi="方正小标宋_GBK" w:cs="方正小标宋_GBK"/>
          <w:sz w:val="44"/>
        </w:rPr>
        <w:t xml:space="preserve">部门整体绩效目标</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10" w:after="10"/>
        <w:ind w:firstLine="560"/>
        <w:jc w:val="left"/>
        <w:outlineLvl w:val="1"/>
      </w:pPr>
      <w:bookmarkStart w:id="0" w:name="_Toc_2_2_0000000001"/>
      <w:r>
        <w:rPr>
          <w:rFonts w:ascii="方正黑体_GBK" w:eastAsia="方正黑体_GBK" w:hAnsi="方正黑体_GBK" w:cs="方正黑体_GBK"/>
          <w:sz w:val="28"/>
        </w:rPr>
        <w:t xml:space="preserve">一、总体绩效目标</w:t>
      </w:r>
      <w:bookmarkEnd w:id="0"/>
    </w:p>
    <w:p>
      <w:pPr>
        <w:pStyle w:val="插入文本样式-插入总体目标文件"/>
      </w:pPr>
    </w:p>
    <w:p>
      <w:pPr>
        <w:spacing w:before="10" w:after="10"/>
        <w:ind w:firstLine="560"/>
        <w:jc w:val="left"/>
        <w:outlineLvl w:val="1"/>
      </w:pPr>
      <w:bookmarkStart w:id="1" w:name="_Toc_2_2_0000000002"/>
      <w:r>
        <w:rPr>
          <w:rFonts w:ascii="方正黑体_GBK" w:eastAsia="方正黑体_GBK" w:hAnsi="方正黑体_GBK" w:cs="方正黑体_GBK"/>
          <w:sz w:val="28"/>
        </w:rPr>
        <w:t xml:space="preserve">二、分项绩效目标</w:t>
      </w:r>
      <w:bookmarkEnd w:id="1"/>
    </w:p>
    <w:p>
      <w:pPr>
        <w:pStyle w:val="插入文本样式-插入职责分类绩效目标文件"/>
      </w:pPr>
    </w:p>
    <w:p>
      <w:pPr>
        <w:spacing w:before="10" w:after="10"/>
        <w:ind w:firstLine="560"/>
        <w:jc w:val="left"/>
        <w:outlineLvl w:val="1"/>
      </w:pPr>
      <w:bookmarkStart w:id="2" w:name="_Toc_2_2_0000000003"/>
      <w:r>
        <w:rPr>
          <w:rFonts w:ascii="方正黑体_GBK" w:eastAsia="方正黑体_GBK" w:hAnsi="方正黑体_GBK" w:cs="方正黑体_GBK"/>
          <w:sz w:val="28"/>
        </w:rPr>
        <w:t xml:space="preserve">三、工作保障措施</w:t>
      </w:r>
      <w:bookmarkEnd w:id="2"/>
    </w:p>
    <w:p>
      <w:pPr>
        <w:pStyle w:val="插入文本样式-插入实现年度发展规划目标的保障措施文件"/>
      </w:pP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第二部分</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0"/>
      </w:pPr>
      <w:r>
        <w:rPr>
          <w:rFonts w:ascii="方正小标宋_GBK" w:eastAsia="方正小标宋_GBK" w:hAnsi="方正小标宋_GBK" w:cs="方正小标宋_GBK"/>
          <w:sz w:val="44"/>
        </w:rPr>
        <w:t xml:space="preserve">预算项目绩效目标</w:t>
      </w: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 w:name="_Toc_4_4_0000000004"/>
      <w:r>
        <w:rPr>
          <w:rFonts w:ascii="方正仿宋_GBK" w:eastAsia="方正仿宋_GBK" w:hAnsi="方正仿宋_GBK" w:cs="方正仿宋_GBK"/>
          <w:sz w:val="28"/>
        </w:rPr>
        <w:t xml:space="preserve">1.2026年财政信息系统网络及运维经费绩效目标表</w:t>
      </w:r>
      <w:bookmarkEnd w:id="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2026年财政信息系统网络及运维经费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2262200.00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2262200.00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支付第三方开展信息化运维、测评等费用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1.通过聘用第三方对决算系统、政府财务报告系统、资产系统、地方政府性债务系统、财政债务业务系统、财企信息服务系统等6个信息系统进行维护，保障系统正常运行，提升财政工作效率</w:t>
            </w:r>
            <w:r>
              <w:tab/>
            </w:r>
          </w:p>
          <w:p>
            <w:pPr>
              <w:pStyle w:val="单元格样式2"/>
            </w:pPr>
            <w:r>
              <w:t xml:space="preserve">2.通过对财政网络进行维护，保障全局财政专网畅通，确保全局计算机设备日常平稳运行</w:t>
            </w:r>
          </w:p>
          <w:p>
            <w:pPr>
              <w:pStyle w:val="单元格样式2"/>
            </w:pPr>
            <w:r>
              <w:t xml:space="preserve">3.通过租用华为云资源服务，充分保障财政信息系统正常运行</w:t>
            </w:r>
          </w:p>
          <w:p>
            <w:pPr>
              <w:pStyle w:val="单元格样式2"/>
            </w:pPr>
            <w:r>
              <w:t xml:space="preserve">4.通过聘用第三方为新区各预算单位制作电子化支付模块Ukey，保障预算管理一体化系统顺利运行</w:t>
            </w:r>
          </w:p>
          <w:p>
            <w:pPr>
              <w:pStyle w:val="单元格样式2"/>
            </w:pPr>
            <w:r>
              <w:t xml:space="preserve">5.通过对单位信息化设备及系统开展专业评审、等保测评和密评，节约财政资金、提高信息化设备及系统安全性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维护信息系统数量</w:t>
            </w:r>
          </w:p>
        </w:tc>
        <w:tc>
          <w:tcPr>
            <w:tcW w:w="3430" w:type="dxa"/>
            <w:hMerge w:val="restart"/>
            <w:vAlign w:val="center"/>
          </w:tcPr>
          <w:p>
            <w:pPr>
              <w:pStyle w:val="单元格样式2"/>
            </w:pPr>
            <w:r>
              <w:t xml:space="preserve">维护信息系统数量</w:t>
            </w:r>
          </w:p>
        </w:tc>
        <w:tc>
          <w:tcPr>
            <w:tcW w:w="0" w:type="auto"/>
            <w:hMerge/>
            <w:vAlign w:val="center"/>
          </w:tcPr>
          <w:p>
            <w:pPr/>
          </w:p>
        </w:tc>
        <w:tc>
          <w:tcPr>
            <w:tcW w:w="2551" w:type="dxa"/>
            <w:hMerge w:val="restart"/>
            <w:vAlign w:val="center"/>
          </w:tcPr>
          <w:p>
            <w:pPr>
              <w:pStyle w:val="单元格样式2"/>
            </w:pPr>
            <w:r>
              <w:t xml:space="preserve">≥6个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信息网络设备巡检数</w:t>
            </w:r>
          </w:p>
        </w:tc>
        <w:tc>
          <w:tcPr>
            <w:tcW w:w="3430" w:type="dxa"/>
            <w:hMerge w:val="restart"/>
            <w:vAlign w:val="center"/>
          </w:tcPr>
          <w:p>
            <w:pPr>
              <w:pStyle w:val="单元格样式2"/>
            </w:pPr>
            <w:r>
              <w:t xml:space="preserve">信息网络设备巡检数</w:t>
            </w:r>
          </w:p>
        </w:tc>
        <w:tc>
          <w:tcPr>
            <w:tcW w:w="0" w:type="auto"/>
            <w:hMerge/>
            <w:vAlign w:val="center"/>
          </w:tcPr>
          <w:p>
            <w:pPr/>
          </w:p>
        </w:tc>
        <w:tc>
          <w:tcPr>
            <w:tcW w:w="2551" w:type="dxa"/>
            <w:hMerge w:val="restart"/>
            <w:vAlign w:val="center"/>
          </w:tcPr>
          <w:p>
            <w:pPr>
              <w:pStyle w:val="单元格样式2"/>
            </w:pPr>
            <w:r>
              <w:t xml:space="preserve">≥450次</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等保测评、密评信息系统数量</w:t>
            </w:r>
          </w:p>
        </w:tc>
        <w:tc>
          <w:tcPr>
            <w:tcW w:w="3430" w:type="dxa"/>
            <w:hMerge w:val="restart"/>
            <w:vAlign w:val="center"/>
          </w:tcPr>
          <w:p>
            <w:pPr>
              <w:pStyle w:val="单元格样式2"/>
            </w:pPr>
            <w:r>
              <w:t xml:space="preserve">等保测评、密评信息系统数量</w:t>
            </w:r>
          </w:p>
        </w:tc>
        <w:tc>
          <w:tcPr>
            <w:tcW w:w="0" w:type="auto"/>
            <w:hMerge/>
            <w:vAlign w:val="center"/>
          </w:tcPr>
          <w:p>
            <w:pPr/>
          </w:p>
        </w:tc>
        <w:tc>
          <w:tcPr>
            <w:tcW w:w="2551" w:type="dxa"/>
            <w:hMerge w:val="restart"/>
            <w:vAlign w:val="center"/>
          </w:tcPr>
          <w:p>
            <w:pPr>
              <w:pStyle w:val="单元格样式2"/>
            </w:pPr>
            <w:r>
              <w:t xml:space="preserve">≥6个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云资源服务类型</w:t>
            </w:r>
          </w:p>
        </w:tc>
        <w:tc>
          <w:tcPr>
            <w:tcW w:w="3430" w:type="dxa"/>
            <w:hMerge w:val="restart"/>
            <w:vAlign w:val="center"/>
          </w:tcPr>
          <w:p>
            <w:pPr>
              <w:pStyle w:val="单元格样式2"/>
            </w:pPr>
            <w:r>
              <w:t xml:space="preserve">云资源服务类型</w:t>
            </w:r>
          </w:p>
        </w:tc>
        <w:tc>
          <w:tcPr>
            <w:tcW w:w="0" w:type="auto"/>
            <w:hMerge/>
            <w:vAlign w:val="center"/>
          </w:tcPr>
          <w:p>
            <w:pPr/>
          </w:p>
        </w:tc>
        <w:tc>
          <w:tcPr>
            <w:tcW w:w="2551" w:type="dxa"/>
            <w:hMerge w:val="restart"/>
            <w:vAlign w:val="center"/>
          </w:tcPr>
          <w:p>
            <w:pPr>
              <w:pStyle w:val="单元格样式2"/>
            </w:pPr>
            <w:r>
              <w:t xml:space="preserve">≥2类</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信息化专家评审服务类型</w:t>
            </w:r>
          </w:p>
        </w:tc>
        <w:tc>
          <w:tcPr>
            <w:tcW w:w="3430" w:type="dxa"/>
            <w:hMerge w:val="restart"/>
            <w:vAlign w:val="center"/>
          </w:tcPr>
          <w:p>
            <w:pPr>
              <w:pStyle w:val="单元格样式2"/>
            </w:pPr>
            <w:r>
              <w:t xml:space="preserve">信息化专家评审服务类型</w:t>
            </w:r>
          </w:p>
        </w:tc>
        <w:tc>
          <w:tcPr>
            <w:tcW w:w="0" w:type="auto"/>
            <w:hMerge/>
            <w:vAlign w:val="center"/>
          </w:tcPr>
          <w:p>
            <w:pPr/>
          </w:p>
        </w:tc>
        <w:tc>
          <w:tcPr>
            <w:tcW w:w="2551" w:type="dxa"/>
            <w:hMerge w:val="restart"/>
            <w:vAlign w:val="center"/>
          </w:tcPr>
          <w:p>
            <w:pPr>
              <w:pStyle w:val="单元格样式2"/>
            </w:pPr>
            <w:r>
              <w:t xml:space="preserve">≥3类</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电子化支付CA证书数量</w:t>
            </w:r>
          </w:p>
        </w:tc>
        <w:tc>
          <w:tcPr>
            <w:tcW w:w="3430" w:type="dxa"/>
            <w:hMerge w:val="restart"/>
            <w:vAlign w:val="center"/>
          </w:tcPr>
          <w:p>
            <w:pPr>
              <w:pStyle w:val="单元格样式2"/>
            </w:pPr>
            <w:r>
              <w:t xml:space="preserve">电子化支付CA证书数量</w:t>
            </w:r>
          </w:p>
        </w:tc>
        <w:tc>
          <w:tcPr>
            <w:tcW w:w="0" w:type="auto"/>
            <w:hMerge/>
            <w:vAlign w:val="center"/>
          </w:tcPr>
          <w:p>
            <w:pPr/>
          </w:p>
        </w:tc>
        <w:tc>
          <w:tcPr>
            <w:tcW w:w="2551" w:type="dxa"/>
            <w:hMerge w:val="restart"/>
            <w:vAlign w:val="center"/>
          </w:tcPr>
          <w:p>
            <w:pPr>
              <w:pStyle w:val="单元格样式2"/>
            </w:pPr>
            <w:r>
              <w:t xml:space="preserve">≥480个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信息系统及网络故障率</w:t>
            </w:r>
          </w:p>
        </w:tc>
        <w:tc>
          <w:tcPr>
            <w:tcW w:w="3430" w:type="dxa"/>
            <w:hMerge w:val="restart"/>
            <w:vAlign w:val="center"/>
          </w:tcPr>
          <w:p>
            <w:pPr>
              <w:pStyle w:val="单元格样式2"/>
            </w:pPr>
            <w:r>
              <w:t xml:space="preserve">信息系统及网络故障率</w:t>
            </w:r>
          </w:p>
        </w:tc>
        <w:tc>
          <w:tcPr>
            <w:tcW w:w="0" w:type="auto"/>
            <w:hMerge/>
            <w:vAlign w:val="center"/>
          </w:tcPr>
          <w:p>
            <w:pPr/>
          </w:p>
        </w:tc>
        <w:tc>
          <w:tcPr>
            <w:tcW w:w="2551" w:type="dxa"/>
            <w:hMerge w:val="restart"/>
            <w:vAlign w:val="center"/>
          </w:tcPr>
          <w:p>
            <w:pPr>
              <w:pStyle w:val="单元格样式2"/>
            </w:pPr>
            <w:r>
              <w:t xml:space="preserve">≤5%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云资源配套设备故障率</w:t>
            </w:r>
          </w:p>
        </w:tc>
        <w:tc>
          <w:tcPr>
            <w:tcW w:w="3430" w:type="dxa"/>
            <w:hMerge w:val="restart"/>
            <w:vAlign w:val="center"/>
          </w:tcPr>
          <w:p>
            <w:pPr>
              <w:pStyle w:val="单元格样式2"/>
            </w:pPr>
            <w:r>
              <w:t xml:space="preserve">云资源配套设备故障率</w:t>
            </w:r>
          </w:p>
        </w:tc>
        <w:tc>
          <w:tcPr>
            <w:tcW w:w="0" w:type="auto"/>
            <w:hMerge/>
            <w:vAlign w:val="center"/>
          </w:tcPr>
          <w:p>
            <w:pPr/>
          </w:p>
        </w:tc>
        <w:tc>
          <w:tcPr>
            <w:tcW w:w="2551" w:type="dxa"/>
            <w:hMerge w:val="restart"/>
            <w:vAlign w:val="center"/>
          </w:tcPr>
          <w:p>
            <w:pPr>
              <w:pStyle w:val="单元格样式2"/>
            </w:pPr>
            <w:r>
              <w:t xml:space="preserve">≤1%</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等保测评、密评机构资质达标率</w:t>
            </w:r>
          </w:p>
        </w:tc>
        <w:tc>
          <w:tcPr>
            <w:tcW w:w="3430" w:type="dxa"/>
            <w:hMerge w:val="restart"/>
            <w:vAlign w:val="center"/>
          </w:tcPr>
          <w:p>
            <w:pPr>
              <w:pStyle w:val="单元格样式2"/>
            </w:pPr>
            <w:r>
              <w:t xml:space="preserve">等保测评、密评机构资质达标率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信息化专家评审合格率</w:t>
            </w:r>
          </w:p>
        </w:tc>
        <w:tc>
          <w:tcPr>
            <w:tcW w:w="3430" w:type="dxa"/>
            <w:hMerge w:val="restart"/>
            <w:vAlign w:val="center"/>
          </w:tcPr>
          <w:p>
            <w:pPr>
              <w:pStyle w:val="单元格样式2"/>
            </w:pPr>
            <w:r>
              <w:t xml:space="preserve">信息化专家评审合格率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电子化支付CA证书故障率</w:t>
            </w:r>
          </w:p>
        </w:tc>
        <w:tc>
          <w:tcPr>
            <w:tcW w:w="3430" w:type="dxa"/>
            <w:hMerge w:val="restart"/>
            <w:vAlign w:val="center"/>
          </w:tcPr>
          <w:p>
            <w:pPr>
              <w:pStyle w:val="单元格样式2"/>
            </w:pPr>
            <w:r>
              <w:t xml:space="preserve">电子化支付CA证书故障率</w:t>
            </w:r>
          </w:p>
        </w:tc>
        <w:tc>
          <w:tcPr>
            <w:tcW w:w="0" w:type="auto"/>
            <w:hMerge/>
            <w:vAlign w:val="center"/>
          </w:tcPr>
          <w:p>
            <w:pPr/>
          </w:p>
        </w:tc>
        <w:tc>
          <w:tcPr>
            <w:tcW w:w="2551" w:type="dxa"/>
            <w:hMerge w:val="restart"/>
            <w:vAlign w:val="center"/>
          </w:tcPr>
          <w:p>
            <w:pPr>
              <w:pStyle w:val="单元格样式2"/>
            </w:pPr>
            <w:r>
              <w:t xml:space="preserve">≤5%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云资源服务时间</w:t>
            </w:r>
          </w:p>
        </w:tc>
        <w:tc>
          <w:tcPr>
            <w:tcW w:w="3430" w:type="dxa"/>
            <w:hMerge w:val="restart"/>
            <w:vAlign w:val="center"/>
          </w:tcPr>
          <w:p>
            <w:pPr>
              <w:pStyle w:val="单元格样式2"/>
            </w:pPr>
            <w:r>
              <w:t xml:space="preserve">云资源服务时间</w:t>
            </w:r>
          </w:p>
        </w:tc>
        <w:tc>
          <w:tcPr>
            <w:tcW w:w="0" w:type="auto"/>
            <w:hMerge/>
            <w:vAlign w:val="center"/>
          </w:tcPr>
          <w:p>
            <w:pPr/>
          </w:p>
        </w:tc>
        <w:tc>
          <w:tcPr>
            <w:tcW w:w="2551" w:type="dxa"/>
            <w:hMerge w:val="restart"/>
            <w:vAlign w:val="center"/>
          </w:tcPr>
          <w:p>
            <w:pPr>
              <w:pStyle w:val="单元格样式2"/>
            </w:pPr>
            <w:r>
              <w:t xml:space="preserve">1年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信息系统及网络运维服务时间</w:t>
            </w:r>
          </w:p>
        </w:tc>
        <w:tc>
          <w:tcPr>
            <w:tcW w:w="3430" w:type="dxa"/>
            <w:hMerge w:val="restart"/>
            <w:vAlign w:val="center"/>
          </w:tcPr>
          <w:p>
            <w:pPr>
              <w:pStyle w:val="单元格样式2"/>
            </w:pPr>
            <w:r>
              <w:t xml:space="preserve">信息系统及网络运维服务时间</w:t>
            </w:r>
          </w:p>
        </w:tc>
        <w:tc>
          <w:tcPr>
            <w:tcW w:w="0" w:type="auto"/>
            <w:hMerge/>
            <w:vAlign w:val="center"/>
          </w:tcPr>
          <w:p>
            <w:pPr/>
          </w:p>
        </w:tc>
        <w:tc>
          <w:tcPr>
            <w:tcW w:w="2551" w:type="dxa"/>
            <w:hMerge w:val="restart"/>
            <w:vAlign w:val="center"/>
          </w:tcPr>
          <w:p>
            <w:pPr>
              <w:pStyle w:val="单元格样式2"/>
            </w:pPr>
            <w:r>
              <w:t xml:space="preserve">1年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电子化支付CA证书制作完成时间</w:t>
            </w:r>
          </w:p>
        </w:tc>
        <w:tc>
          <w:tcPr>
            <w:tcW w:w="3430" w:type="dxa"/>
            <w:hMerge w:val="restart"/>
            <w:vAlign w:val="center"/>
          </w:tcPr>
          <w:p>
            <w:pPr>
              <w:pStyle w:val="单元格样式2"/>
            </w:pPr>
            <w:r>
              <w:t xml:space="preserve">电子化支付CA证书制作完成时间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等保测评、密评完成时间</w:t>
            </w:r>
          </w:p>
        </w:tc>
        <w:tc>
          <w:tcPr>
            <w:tcW w:w="3430" w:type="dxa"/>
            <w:hMerge w:val="restart"/>
            <w:vAlign w:val="center"/>
          </w:tcPr>
          <w:p>
            <w:pPr>
              <w:pStyle w:val="单元格样式2"/>
            </w:pPr>
            <w:r>
              <w:t xml:space="preserve">等保测评、密评完成时间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信息化专家评审完成时间</w:t>
            </w:r>
          </w:p>
        </w:tc>
        <w:tc>
          <w:tcPr>
            <w:tcW w:w="3430" w:type="dxa"/>
            <w:hMerge w:val="restart"/>
            <w:vAlign w:val="center"/>
          </w:tcPr>
          <w:p>
            <w:pPr>
              <w:pStyle w:val="单元格样式2"/>
            </w:pPr>
            <w:r>
              <w:t xml:space="preserve">信息化专家评审完成时间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信息系统及网络运维成本</w:t>
            </w:r>
          </w:p>
        </w:tc>
        <w:tc>
          <w:tcPr>
            <w:tcW w:w="3430" w:type="dxa"/>
            <w:hMerge w:val="restart"/>
            <w:vAlign w:val="center"/>
          </w:tcPr>
          <w:p>
            <w:pPr>
              <w:pStyle w:val="单元格样式2"/>
            </w:pPr>
            <w:r>
              <w:t xml:space="preserve">信息系统及网络运维成本</w:t>
            </w:r>
          </w:p>
        </w:tc>
        <w:tc>
          <w:tcPr>
            <w:tcW w:w="0" w:type="auto"/>
            <w:hMerge/>
            <w:vAlign w:val="center"/>
          </w:tcPr>
          <w:p>
            <w:pPr/>
          </w:p>
        </w:tc>
        <w:tc>
          <w:tcPr>
            <w:tcW w:w="2551" w:type="dxa"/>
            <w:hMerge w:val="restart"/>
            <w:vAlign w:val="center"/>
          </w:tcPr>
          <w:p>
            <w:pPr>
              <w:pStyle w:val="单元格样式2"/>
            </w:pPr>
            <w:r>
              <w:t xml:space="preserve">≤182.8万元/年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云资源服务成本</w:t>
            </w:r>
          </w:p>
        </w:tc>
        <w:tc>
          <w:tcPr>
            <w:tcW w:w="3430" w:type="dxa"/>
            <w:hMerge w:val="restart"/>
            <w:vAlign w:val="center"/>
          </w:tcPr>
          <w:p>
            <w:pPr>
              <w:pStyle w:val="单元格样式2"/>
            </w:pPr>
            <w:r>
              <w:t xml:space="preserve">云资源服务成本</w:t>
            </w:r>
          </w:p>
        </w:tc>
        <w:tc>
          <w:tcPr>
            <w:tcW w:w="0" w:type="auto"/>
            <w:hMerge/>
            <w:vAlign w:val="center"/>
          </w:tcPr>
          <w:p>
            <w:pPr/>
          </w:p>
        </w:tc>
        <w:tc>
          <w:tcPr>
            <w:tcW w:w="2551" w:type="dxa"/>
            <w:hMerge w:val="restart"/>
            <w:vAlign w:val="center"/>
          </w:tcPr>
          <w:p>
            <w:pPr>
              <w:pStyle w:val="单元格样式2"/>
            </w:pPr>
            <w:r>
              <w:t xml:space="preserve">≤18.86万元/年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等保测评、密评服务成本</w:t>
            </w:r>
          </w:p>
        </w:tc>
        <w:tc>
          <w:tcPr>
            <w:tcW w:w="3430" w:type="dxa"/>
            <w:hMerge w:val="restart"/>
            <w:vAlign w:val="center"/>
          </w:tcPr>
          <w:p>
            <w:pPr>
              <w:pStyle w:val="单元格样式2"/>
            </w:pPr>
            <w:r>
              <w:t xml:space="preserve">等保测评、密评服务成本</w:t>
            </w:r>
          </w:p>
        </w:tc>
        <w:tc>
          <w:tcPr>
            <w:tcW w:w="0" w:type="auto"/>
            <w:hMerge/>
            <w:vAlign w:val="center"/>
          </w:tcPr>
          <w:p>
            <w:pPr/>
          </w:p>
        </w:tc>
        <w:tc>
          <w:tcPr>
            <w:tcW w:w="2551" w:type="dxa"/>
            <w:hMerge w:val="restart"/>
            <w:vAlign w:val="center"/>
          </w:tcPr>
          <w:p>
            <w:pPr>
              <w:pStyle w:val="单元格样式2"/>
            </w:pPr>
            <w:r>
              <w:t xml:space="preserve">≤10万元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信息化专家评审成本</w:t>
            </w:r>
          </w:p>
        </w:tc>
        <w:tc>
          <w:tcPr>
            <w:tcW w:w="3430" w:type="dxa"/>
            <w:hMerge w:val="restart"/>
            <w:vAlign w:val="center"/>
          </w:tcPr>
          <w:p>
            <w:pPr>
              <w:pStyle w:val="单元格样式2"/>
            </w:pPr>
            <w:r>
              <w:t xml:space="preserve">信息化专家评审成本</w:t>
            </w:r>
          </w:p>
        </w:tc>
        <w:tc>
          <w:tcPr>
            <w:tcW w:w="0" w:type="auto"/>
            <w:hMerge/>
            <w:vAlign w:val="center"/>
          </w:tcPr>
          <w:p>
            <w:pPr/>
          </w:p>
        </w:tc>
        <w:tc>
          <w:tcPr>
            <w:tcW w:w="2551" w:type="dxa"/>
            <w:hMerge w:val="restart"/>
            <w:vAlign w:val="center"/>
          </w:tcPr>
          <w:p>
            <w:pPr>
              <w:pStyle w:val="单元格样式2"/>
            </w:pPr>
            <w:r>
              <w:t xml:space="preserve">≤10万元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电子化支付CA证书单位制作成本</w:t>
            </w:r>
          </w:p>
        </w:tc>
        <w:tc>
          <w:tcPr>
            <w:tcW w:w="3430" w:type="dxa"/>
            <w:hMerge w:val="restart"/>
            <w:vAlign w:val="center"/>
          </w:tcPr>
          <w:p>
            <w:pPr>
              <w:pStyle w:val="单元格样式2"/>
            </w:pPr>
            <w:r>
              <w:t xml:space="preserve">电子化支付CA证书单位制作成本</w:t>
            </w:r>
          </w:p>
        </w:tc>
        <w:tc>
          <w:tcPr>
            <w:tcW w:w="0" w:type="auto"/>
            <w:hMerge/>
            <w:vAlign w:val="center"/>
          </w:tcPr>
          <w:p>
            <w:pPr/>
          </w:p>
        </w:tc>
        <w:tc>
          <w:tcPr>
            <w:tcW w:w="2551" w:type="dxa"/>
            <w:hMerge w:val="restart"/>
            <w:vAlign w:val="center"/>
          </w:tcPr>
          <w:p>
            <w:pPr>
              <w:pStyle w:val="单元格样式2"/>
            </w:pPr>
            <w:r>
              <w:t xml:space="preserve">≤95元/个</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保障财政信息系统和数据安全</w:t>
            </w:r>
          </w:p>
        </w:tc>
        <w:tc>
          <w:tcPr>
            <w:tcW w:w="3430" w:type="dxa"/>
            <w:hMerge w:val="restart"/>
            <w:vAlign w:val="center"/>
          </w:tcPr>
          <w:p>
            <w:pPr>
              <w:pStyle w:val="单元格样式2"/>
            </w:pPr>
            <w:r>
              <w:t xml:space="preserve">保障财政信息系统和数据安全</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保障一体化系统运行和数据安全</w:t>
            </w:r>
          </w:p>
        </w:tc>
        <w:tc>
          <w:tcPr>
            <w:tcW w:w="3430" w:type="dxa"/>
            <w:hMerge w:val="restart"/>
            <w:vAlign w:val="center"/>
          </w:tcPr>
          <w:p>
            <w:pPr>
              <w:pStyle w:val="单元格样式2"/>
            </w:pPr>
            <w:r>
              <w:t xml:space="preserve">保障一体化系统运行和数据安全</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保障全局网络安全稳定及日常办公系统稳定</w:t>
            </w:r>
          </w:p>
        </w:tc>
        <w:tc>
          <w:tcPr>
            <w:tcW w:w="3430" w:type="dxa"/>
            <w:hMerge w:val="restart"/>
            <w:vAlign w:val="center"/>
          </w:tcPr>
          <w:p>
            <w:pPr>
              <w:pStyle w:val="单元格样式2"/>
            </w:pPr>
            <w:r>
              <w:t xml:space="preserve">保障全局网络安全稳定及日常办公系统稳定</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信息系统及网络使用满意率</w:t>
            </w:r>
          </w:p>
        </w:tc>
        <w:tc>
          <w:tcPr>
            <w:tcW w:w="3430" w:type="dxa"/>
            <w:hMerge w:val="restart"/>
            <w:vAlign w:val="center"/>
          </w:tcPr>
          <w:p>
            <w:pPr>
              <w:pStyle w:val="单元格样式2"/>
            </w:pPr>
            <w:r>
              <w:t xml:space="preserve">信息系统及网络使用满意率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电子化支付系统用户满意率</w:t>
            </w:r>
          </w:p>
        </w:tc>
        <w:tc>
          <w:tcPr>
            <w:tcW w:w="3430" w:type="dxa"/>
            <w:hMerge w:val="restart"/>
            <w:vAlign w:val="center"/>
          </w:tcPr>
          <w:p>
            <w:pPr>
              <w:pStyle w:val="单元格样式2"/>
            </w:pPr>
            <w:r>
              <w:t xml:space="preserve">电子化支付系统用户满意率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 w:name="_Toc_4_4_0000000005"/>
      <w:r>
        <w:rPr>
          <w:rFonts w:ascii="方正仿宋_GBK" w:eastAsia="方正仿宋_GBK" w:hAnsi="方正仿宋_GBK" w:cs="方正仿宋_GBK"/>
          <w:sz w:val="28"/>
        </w:rPr>
        <w:t xml:space="preserve">2.2026年财政国库集中支付代理银行手续费绩效目标表</w:t>
      </w:r>
      <w:bookmarkEnd w:id="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2026年财政国库集中支付代理银行手续费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420000.00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420000.00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支付代理银行集中支付手续费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1.及时准确完成全年国库集中支付直接支付、授权业务，保证财政拨款及时到账，提高财政拨款效率。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代理银行数量</w:t>
            </w:r>
          </w:p>
        </w:tc>
        <w:tc>
          <w:tcPr>
            <w:tcW w:w="3430" w:type="dxa"/>
            <w:hMerge w:val="restart"/>
            <w:vAlign w:val="center"/>
          </w:tcPr>
          <w:p>
            <w:pPr>
              <w:pStyle w:val="单元格样式2"/>
            </w:pPr>
            <w:r>
              <w:t xml:space="preserve">代理银行数量</w:t>
            </w:r>
          </w:p>
        </w:tc>
        <w:tc>
          <w:tcPr>
            <w:tcW w:w="0" w:type="auto"/>
            <w:hMerge/>
            <w:vAlign w:val="center"/>
          </w:tcPr>
          <w:p>
            <w:pPr/>
          </w:p>
        </w:tc>
        <w:tc>
          <w:tcPr>
            <w:tcW w:w="2551" w:type="dxa"/>
            <w:hMerge w:val="restart"/>
            <w:vAlign w:val="center"/>
          </w:tcPr>
          <w:p>
            <w:pPr>
              <w:pStyle w:val="单元格样式2"/>
            </w:pPr>
            <w:r>
              <w:t xml:space="preserve">≥4家</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资金拨付准确率</w:t>
            </w:r>
          </w:p>
        </w:tc>
        <w:tc>
          <w:tcPr>
            <w:tcW w:w="3430" w:type="dxa"/>
            <w:hMerge w:val="restart"/>
            <w:vAlign w:val="center"/>
          </w:tcPr>
          <w:p>
            <w:pPr>
              <w:pStyle w:val="单元格样式2"/>
            </w:pPr>
            <w:r>
              <w:t xml:space="preserve">资金拨付准确率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资金延迟到账时间</w:t>
            </w:r>
          </w:p>
        </w:tc>
        <w:tc>
          <w:tcPr>
            <w:tcW w:w="3430" w:type="dxa"/>
            <w:hMerge w:val="restart"/>
            <w:vAlign w:val="center"/>
          </w:tcPr>
          <w:p>
            <w:pPr>
              <w:pStyle w:val="单元格样式2"/>
            </w:pPr>
            <w:r>
              <w:t xml:space="preserve">资金延迟到账时间</w:t>
            </w:r>
          </w:p>
        </w:tc>
        <w:tc>
          <w:tcPr>
            <w:tcW w:w="0" w:type="auto"/>
            <w:hMerge/>
            <w:vAlign w:val="center"/>
          </w:tcPr>
          <w:p>
            <w:pPr/>
          </w:p>
        </w:tc>
        <w:tc>
          <w:tcPr>
            <w:tcW w:w="2551" w:type="dxa"/>
            <w:hMerge w:val="restart"/>
            <w:vAlign w:val="center"/>
          </w:tcPr>
          <w:p>
            <w:pPr>
              <w:pStyle w:val="单元格样式2"/>
            </w:pPr>
            <w:r>
              <w:t xml:space="preserve">≤1工作日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代理业务手续费</w:t>
            </w:r>
          </w:p>
        </w:tc>
        <w:tc>
          <w:tcPr>
            <w:tcW w:w="3430" w:type="dxa"/>
            <w:hMerge w:val="restart"/>
            <w:vAlign w:val="center"/>
          </w:tcPr>
          <w:p>
            <w:pPr>
              <w:pStyle w:val="单元格样式2"/>
            </w:pPr>
            <w:r>
              <w:t xml:space="preserve">代理业务手续费</w:t>
            </w:r>
          </w:p>
        </w:tc>
        <w:tc>
          <w:tcPr>
            <w:tcW w:w="0" w:type="auto"/>
            <w:hMerge/>
            <w:vAlign w:val="center"/>
          </w:tcPr>
          <w:p>
            <w:pPr/>
          </w:p>
        </w:tc>
        <w:tc>
          <w:tcPr>
            <w:tcW w:w="2551" w:type="dxa"/>
            <w:hMerge w:val="restart"/>
            <w:vAlign w:val="center"/>
          </w:tcPr>
          <w:p>
            <w:pPr>
              <w:pStyle w:val="单元格样式2"/>
            </w:pPr>
            <w:r>
              <w:t xml:space="preserve">≤42万元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保证财政拨款及时足额到账，提高财政拨款效率</w:t>
            </w:r>
          </w:p>
        </w:tc>
        <w:tc>
          <w:tcPr>
            <w:tcW w:w="3430" w:type="dxa"/>
            <w:hMerge w:val="restart"/>
            <w:vAlign w:val="center"/>
          </w:tcPr>
          <w:p>
            <w:pPr>
              <w:pStyle w:val="单元格样式2"/>
            </w:pPr>
            <w:r>
              <w:t xml:space="preserve">保证财政拨款及时足额到账，提高财政拨款效率</w:t>
            </w:r>
          </w:p>
        </w:tc>
        <w:tc>
          <w:tcPr>
            <w:tcW w:w="0" w:type="auto"/>
            <w:hMerge/>
            <w:vAlign w:val="center"/>
          </w:tcPr>
          <w:p>
            <w:pPr/>
          </w:p>
        </w:tc>
        <w:tc>
          <w:tcPr>
            <w:tcW w:w="2551" w:type="dxa"/>
            <w:hMerge w:val="restart"/>
            <w:vAlign w:val="center"/>
          </w:tcPr>
          <w:p>
            <w:pPr>
              <w:pStyle w:val="单元格样式2"/>
            </w:pPr>
            <w:r>
              <w:t xml:space="preserve">有效保证</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各预算单位满意度</w:t>
            </w:r>
          </w:p>
        </w:tc>
        <w:tc>
          <w:tcPr>
            <w:tcW w:w="3430" w:type="dxa"/>
            <w:hMerge w:val="restart"/>
            <w:vAlign w:val="center"/>
          </w:tcPr>
          <w:p>
            <w:pPr>
              <w:pStyle w:val="单元格样式2"/>
            </w:pPr>
            <w:r>
              <w:t xml:space="preserve">各预算单位满意度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 w:name="_Toc_4_4_0000000006"/>
      <w:r>
        <w:rPr>
          <w:rFonts w:ascii="方正仿宋_GBK" w:eastAsia="方正仿宋_GBK" w:hAnsi="方正仿宋_GBK" w:cs="方正仿宋_GBK"/>
          <w:sz w:val="28"/>
        </w:rPr>
        <w:t xml:space="preserve">3.2026年财政信息系统建设专项经费绩效目标表</w:t>
      </w:r>
      <w:bookmarkEnd w:id="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2026年财政信息系统建设专项经费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207700.00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207700.00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支付软件开发费用及第三方验收评审费用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1.通过部署应用滨海新区财政经济分析监督平台提高财政对经济运行、财会监督、上级转移支付资金等重点工作的主动监督能力。</w:t>
            </w:r>
          </w:p>
          <w:p>
            <w:pPr>
              <w:pStyle w:val="单元格样式2"/>
            </w:pPr>
            <w:r>
              <w:t xml:space="preserve">2.通过聘用第三方对财政经济分析监督平台开展验收工作，保证系统稳定、顺利运行。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验收信息系统数量</w:t>
            </w:r>
          </w:p>
        </w:tc>
        <w:tc>
          <w:tcPr>
            <w:tcW w:w="3430" w:type="dxa"/>
            <w:hMerge w:val="restart"/>
            <w:vAlign w:val="center"/>
          </w:tcPr>
          <w:p>
            <w:pPr>
              <w:pStyle w:val="单元格样式2"/>
            </w:pPr>
            <w:r>
              <w:t xml:space="preserve">验收信息系统数量</w:t>
            </w:r>
          </w:p>
        </w:tc>
        <w:tc>
          <w:tcPr>
            <w:tcW w:w="0" w:type="auto"/>
            <w:hMerge/>
            <w:vAlign w:val="center"/>
          </w:tcPr>
          <w:p>
            <w:pPr/>
          </w:p>
        </w:tc>
        <w:tc>
          <w:tcPr>
            <w:tcW w:w="2551" w:type="dxa"/>
            <w:hMerge w:val="restart"/>
            <w:vAlign w:val="center"/>
          </w:tcPr>
          <w:p>
            <w:pPr>
              <w:pStyle w:val="单元格样式2"/>
            </w:pPr>
            <w:r>
              <w:t xml:space="preserve">1套</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出具系统验收报告数量</w:t>
            </w:r>
          </w:p>
        </w:tc>
        <w:tc>
          <w:tcPr>
            <w:tcW w:w="3430" w:type="dxa"/>
            <w:hMerge w:val="restart"/>
            <w:vAlign w:val="center"/>
          </w:tcPr>
          <w:p>
            <w:pPr>
              <w:pStyle w:val="单元格样式2"/>
            </w:pPr>
            <w:r>
              <w:t xml:space="preserve">出具系统验收报告数量</w:t>
            </w:r>
          </w:p>
        </w:tc>
        <w:tc>
          <w:tcPr>
            <w:tcW w:w="0" w:type="auto"/>
            <w:hMerge/>
            <w:vAlign w:val="center"/>
          </w:tcPr>
          <w:p>
            <w:pPr/>
          </w:p>
        </w:tc>
        <w:tc>
          <w:tcPr>
            <w:tcW w:w="2551" w:type="dxa"/>
            <w:hMerge w:val="restart"/>
            <w:vAlign w:val="center"/>
          </w:tcPr>
          <w:p>
            <w:pPr>
              <w:pStyle w:val="单元格样式2"/>
            </w:pPr>
            <w:r>
              <w:t xml:space="preserve">1份</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信息系统验收合格率</w:t>
            </w:r>
          </w:p>
        </w:tc>
        <w:tc>
          <w:tcPr>
            <w:tcW w:w="3430" w:type="dxa"/>
            <w:hMerge w:val="restart"/>
            <w:vAlign w:val="center"/>
          </w:tcPr>
          <w:p>
            <w:pPr>
              <w:pStyle w:val="单元格样式2"/>
            </w:pPr>
            <w:r>
              <w:t xml:space="preserve">信息系统验收合格率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系统验收报告合格率</w:t>
            </w:r>
          </w:p>
        </w:tc>
        <w:tc>
          <w:tcPr>
            <w:tcW w:w="3430" w:type="dxa"/>
            <w:hMerge w:val="restart"/>
            <w:vAlign w:val="center"/>
          </w:tcPr>
          <w:p>
            <w:pPr>
              <w:pStyle w:val="单元格样式2"/>
            </w:pPr>
            <w:r>
              <w:t xml:space="preserve">系统验收报告合格率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信息系统建设完成时间</w:t>
            </w:r>
          </w:p>
        </w:tc>
        <w:tc>
          <w:tcPr>
            <w:tcW w:w="3430" w:type="dxa"/>
            <w:hMerge w:val="restart"/>
            <w:vAlign w:val="center"/>
          </w:tcPr>
          <w:p>
            <w:pPr>
              <w:pStyle w:val="单元格样式2"/>
            </w:pPr>
            <w:r>
              <w:t xml:space="preserve">信息系统建设完成时间</w:t>
            </w:r>
          </w:p>
        </w:tc>
        <w:tc>
          <w:tcPr>
            <w:tcW w:w="0" w:type="auto"/>
            <w:hMerge/>
            <w:vAlign w:val="center"/>
          </w:tcPr>
          <w:p>
            <w:pPr/>
          </w:p>
        </w:tc>
        <w:tc>
          <w:tcPr>
            <w:tcW w:w="2551" w:type="dxa"/>
            <w:hMerge w:val="restart"/>
            <w:vAlign w:val="center"/>
          </w:tcPr>
          <w:p>
            <w:pPr>
              <w:pStyle w:val="单元格样式2"/>
            </w:pPr>
            <w:r>
              <w:t xml:space="preserve">2026年12月前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系统验收报告出具时间</w:t>
            </w:r>
          </w:p>
        </w:tc>
        <w:tc>
          <w:tcPr>
            <w:tcW w:w="3430" w:type="dxa"/>
            <w:hMerge w:val="restart"/>
            <w:vAlign w:val="center"/>
          </w:tcPr>
          <w:p>
            <w:pPr>
              <w:pStyle w:val="单元格样式2"/>
            </w:pPr>
            <w:r>
              <w:t xml:space="preserve">系统验收报告出具时间</w:t>
            </w:r>
          </w:p>
        </w:tc>
        <w:tc>
          <w:tcPr>
            <w:tcW w:w="0" w:type="auto"/>
            <w:hMerge/>
            <w:vAlign w:val="center"/>
          </w:tcPr>
          <w:p>
            <w:pPr/>
          </w:p>
        </w:tc>
        <w:tc>
          <w:tcPr>
            <w:tcW w:w="2551" w:type="dxa"/>
            <w:hMerge w:val="restart"/>
            <w:vAlign w:val="center"/>
          </w:tcPr>
          <w:p>
            <w:pPr>
              <w:pStyle w:val="单元格样式2"/>
            </w:pPr>
            <w:r>
              <w:t xml:space="preserve">2026年6月前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信息系统建设成本</w:t>
            </w:r>
          </w:p>
        </w:tc>
        <w:tc>
          <w:tcPr>
            <w:tcW w:w="3430" w:type="dxa"/>
            <w:hMerge w:val="restart"/>
            <w:vAlign w:val="center"/>
          </w:tcPr>
          <w:p>
            <w:pPr>
              <w:pStyle w:val="单元格样式2"/>
            </w:pPr>
            <w:r>
              <w:t xml:space="preserve">信息系统建设成本</w:t>
            </w:r>
          </w:p>
        </w:tc>
        <w:tc>
          <w:tcPr>
            <w:tcW w:w="0" w:type="auto"/>
            <w:hMerge/>
            <w:vAlign w:val="center"/>
          </w:tcPr>
          <w:p>
            <w:pPr/>
          </w:p>
        </w:tc>
        <w:tc>
          <w:tcPr>
            <w:tcW w:w="2551" w:type="dxa"/>
            <w:hMerge w:val="restart"/>
            <w:vAlign w:val="center"/>
          </w:tcPr>
          <w:p>
            <w:pPr>
              <w:pStyle w:val="单元格样式2"/>
            </w:pPr>
            <w:r>
              <w:t xml:space="preserve">≤18.77万元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信息系统验收成本</w:t>
            </w:r>
          </w:p>
        </w:tc>
        <w:tc>
          <w:tcPr>
            <w:tcW w:w="3430" w:type="dxa"/>
            <w:hMerge w:val="restart"/>
            <w:vAlign w:val="center"/>
          </w:tcPr>
          <w:p>
            <w:pPr>
              <w:pStyle w:val="单元格样式2"/>
            </w:pPr>
            <w:r>
              <w:t xml:space="preserve">信息系统验收成本</w:t>
            </w:r>
          </w:p>
        </w:tc>
        <w:tc>
          <w:tcPr>
            <w:tcW w:w="0" w:type="auto"/>
            <w:hMerge/>
            <w:vAlign w:val="center"/>
          </w:tcPr>
          <w:p>
            <w:pPr/>
          </w:p>
        </w:tc>
        <w:tc>
          <w:tcPr>
            <w:tcW w:w="2551" w:type="dxa"/>
            <w:hMerge w:val="restart"/>
            <w:vAlign w:val="center"/>
          </w:tcPr>
          <w:p>
            <w:pPr>
              <w:pStyle w:val="单元格样式2"/>
            </w:pPr>
            <w:r>
              <w:t xml:space="preserve">≤2万元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提高财政经济运行分析监督能力</w:t>
            </w:r>
          </w:p>
        </w:tc>
        <w:tc>
          <w:tcPr>
            <w:tcW w:w="3430" w:type="dxa"/>
            <w:hMerge w:val="restart"/>
            <w:vAlign w:val="center"/>
          </w:tcPr>
          <w:p>
            <w:pPr>
              <w:pStyle w:val="单元格样式2"/>
            </w:pPr>
            <w:r>
              <w:t xml:space="preserve">提高财政经济运行分析监督能力</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保证系统功能稳定顺利运行</w:t>
            </w:r>
          </w:p>
        </w:tc>
        <w:tc>
          <w:tcPr>
            <w:tcW w:w="3430" w:type="dxa"/>
            <w:hMerge w:val="restart"/>
            <w:vAlign w:val="center"/>
          </w:tcPr>
          <w:p>
            <w:pPr>
              <w:pStyle w:val="单元格样式2"/>
            </w:pPr>
            <w:r>
              <w:t xml:space="preserve">保证系统功能稳定顺利运行</w:t>
            </w:r>
          </w:p>
        </w:tc>
        <w:tc>
          <w:tcPr>
            <w:tcW w:w="0" w:type="auto"/>
            <w:hMerge/>
            <w:vAlign w:val="center"/>
          </w:tcPr>
          <w:p>
            <w:pPr/>
          </w:p>
        </w:tc>
        <w:tc>
          <w:tcPr>
            <w:tcW w:w="2551" w:type="dxa"/>
            <w:hMerge w:val="restart"/>
            <w:vAlign w:val="center"/>
          </w:tcPr>
          <w:p>
            <w:pPr>
              <w:pStyle w:val="单元格样式2"/>
            </w:pPr>
            <w:r>
              <w:t xml:space="preserve">有效保证</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信息系统使用处室满意度</w:t>
            </w:r>
          </w:p>
        </w:tc>
        <w:tc>
          <w:tcPr>
            <w:tcW w:w="3430" w:type="dxa"/>
            <w:hMerge w:val="restart"/>
            <w:vAlign w:val="center"/>
          </w:tcPr>
          <w:p>
            <w:pPr>
              <w:pStyle w:val="单元格样式2"/>
            </w:pPr>
            <w:r>
              <w:t xml:space="preserve">信息系统使用处室满意度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 w:name="_Toc_4_4_0000000007"/>
      <w:r>
        <w:rPr>
          <w:rFonts w:ascii="方正仿宋_GBK" w:eastAsia="方正仿宋_GBK" w:hAnsi="方正仿宋_GBK" w:cs="方正仿宋_GBK"/>
          <w:sz w:val="28"/>
        </w:rPr>
        <w:t xml:space="preserve">4.2026年防范和处置非法集资工作专项经费绩效目标表</w:t>
      </w:r>
      <w:bookmarkEnd w:id="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2026年防范和处置非法集资工作专项经费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支付防范和处置非法集资相关款项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1.通过组织开展防范非法集资主题宣传活动，推进宣传教育常态化，提高群众防范风险意识。</w:t>
            </w:r>
          </w:p>
          <w:p>
            <w:pPr>
              <w:pStyle w:val="单元格样式2"/>
            </w:pPr>
            <w:r>
              <w:t xml:space="preserve">2.通过保障处非工作人员日常经费，积极稳妥化解新区非法集资风险隐患，有效推动非法集资案件处置进度。</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开展区级防范非法集资主题宣传活动场次</w:t>
            </w:r>
          </w:p>
        </w:tc>
        <w:tc>
          <w:tcPr>
            <w:tcW w:w="3430" w:type="dxa"/>
            <w:hMerge w:val="restart"/>
            <w:vAlign w:val="center"/>
          </w:tcPr>
          <w:p>
            <w:pPr>
              <w:pStyle w:val="单元格样式2"/>
            </w:pPr>
            <w:r>
              <w:t xml:space="preserve">开展区级防范非法集资主题宣传活动场次</w:t>
            </w:r>
          </w:p>
        </w:tc>
        <w:tc>
          <w:tcPr>
            <w:tcW w:w="0" w:type="auto"/>
            <w:hMerge/>
            <w:vAlign w:val="center"/>
          </w:tcPr>
          <w:p>
            <w:pPr/>
          </w:p>
        </w:tc>
        <w:tc>
          <w:tcPr>
            <w:tcW w:w="2551" w:type="dxa"/>
            <w:hMerge w:val="restart"/>
            <w:vAlign w:val="center"/>
          </w:tcPr>
          <w:p>
            <w:pPr>
              <w:pStyle w:val="单元格样式2"/>
            </w:pPr>
            <w:r>
              <w:t xml:space="preserve">≥20场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防范非法集资宣传品发放街镇数量</w:t>
            </w:r>
          </w:p>
        </w:tc>
        <w:tc>
          <w:tcPr>
            <w:tcW w:w="3430" w:type="dxa"/>
            <w:hMerge w:val="restart"/>
            <w:vAlign w:val="center"/>
          </w:tcPr>
          <w:p>
            <w:pPr>
              <w:pStyle w:val="单元格样式2"/>
            </w:pPr>
            <w:r>
              <w:t xml:space="preserve">防范非法集资宣传品发放街镇数量</w:t>
            </w:r>
          </w:p>
        </w:tc>
        <w:tc>
          <w:tcPr>
            <w:tcW w:w="0" w:type="auto"/>
            <w:hMerge/>
            <w:vAlign w:val="center"/>
          </w:tcPr>
          <w:p>
            <w:pPr/>
          </w:p>
        </w:tc>
        <w:tc>
          <w:tcPr>
            <w:tcW w:w="2551" w:type="dxa"/>
            <w:hMerge w:val="restart"/>
            <w:vAlign w:val="center"/>
          </w:tcPr>
          <w:p>
            <w:pPr>
              <w:pStyle w:val="单元格样式2"/>
            </w:pPr>
            <w:r>
              <w:t xml:space="preserve">21个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日常处非工作运转保障人数</w:t>
            </w:r>
          </w:p>
        </w:tc>
        <w:tc>
          <w:tcPr>
            <w:tcW w:w="3430" w:type="dxa"/>
            <w:hMerge w:val="restart"/>
            <w:vAlign w:val="center"/>
          </w:tcPr>
          <w:p>
            <w:pPr>
              <w:pStyle w:val="单元格样式2"/>
            </w:pPr>
            <w:r>
              <w:t xml:space="preserve">日常处非工作运转保障人数</w:t>
            </w:r>
          </w:p>
        </w:tc>
        <w:tc>
          <w:tcPr>
            <w:tcW w:w="0" w:type="auto"/>
            <w:hMerge/>
            <w:vAlign w:val="center"/>
          </w:tcPr>
          <w:p>
            <w:pPr/>
          </w:p>
        </w:tc>
        <w:tc>
          <w:tcPr>
            <w:tcW w:w="2551" w:type="dxa"/>
            <w:hMerge w:val="restart"/>
            <w:vAlign w:val="center"/>
          </w:tcPr>
          <w:p>
            <w:pPr>
              <w:pStyle w:val="单元格样式2"/>
            </w:pPr>
            <w:r>
              <w:t xml:space="preserve">8人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宣传活动开展合规率</w:t>
            </w:r>
          </w:p>
        </w:tc>
        <w:tc>
          <w:tcPr>
            <w:tcW w:w="3430" w:type="dxa"/>
            <w:hMerge w:val="restart"/>
            <w:vAlign w:val="center"/>
          </w:tcPr>
          <w:p>
            <w:pPr>
              <w:pStyle w:val="单元格样式2"/>
            </w:pPr>
            <w:r>
              <w:t xml:space="preserve">宣传活动开展合规率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集资参与人上访劝返率</w:t>
            </w:r>
          </w:p>
        </w:tc>
        <w:tc>
          <w:tcPr>
            <w:tcW w:w="3430" w:type="dxa"/>
            <w:hMerge w:val="restart"/>
            <w:vAlign w:val="center"/>
          </w:tcPr>
          <w:p>
            <w:pPr>
              <w:pStyle w:val="单元格样式2"/>
            </w:pPr>
            <w:r>
              <w:t xml:space="preserve">集资参与人上访劝返率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防范非法集资宣传活动完成时间</w:t>
            </w:r>
          </w:p>
        </w:tc>
        <w:tc>
          <w:tcPr>
            <w:tcW w:w="3430" w:type="dxa"/>
            <w:hMerge w:val="restart"/>
            <w:vAlign w:val="center"/>
          </w:tcPr>
          <w:p>
            <w:pPr>
              <w:pStyle w:val="单元格样式2"/>
            </w:pPr>
            <w:r>
              <w:t xml:space="preserve">防范非法集资宣传活动完成时间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日常处非工作保障时间</w:t>
            </w:r>
          </w:p>
        </w:tc>
        <w:tc>
          <w:tcPr>
            <w:tcW w:w="3430" w:type="dxa"/>
            <w:hMerge w:val="restart"/>
            <w:vAlign w:val="center"/>
          </w:tcPr>
          <w:p>
            <w:pPr>
              <w:pStyle w:val="单元格样式2"/>
            </w:pPr>
            <w:r>
              <w:t xml:space="preserve">日常处非工作保障时间</w:t>
            </w:r>
          </w:p>
        </w:tc>
        <w:tc>
          <w:tcPr>
            <w:tcW w:w="0" w:type="auto"/>
            <w:hMerge/>
            <w:vAlign w:val="center"/>
          </w:tcPr>
          <w:p>
            <w:pPr/>
          </w:p>
        </w:tc>
        <w:tc>
          <w:tcPr>
            <w:tcW w:w="2551" w:type="dxa"/>
            <w:hMerge w:val="restart"/>
            <w:vAlign w:val="center"/>
          </w:tcPr>
          <w:p>
            <w:pPr>
              <w:pStyle w:val="单元格样式2"/>
            </w:pPr>
            <w:r>
              <w:t xml:space="preserve">2026年全年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街镇宣传品单位发放成本</w:t>
            </w:r>
          </w:p>
        </w:tc>
        <w:tc>
          <w:tcPr>
            <w:tcW w:w="3430" w:type="dxa"/>
            <w:hMerge w:val="restart"/>
            <w:vAlign w:val="center"/>
          </w:tcPr>
          <w:p>
            <w:pPr>
              <w:pStyle w:val="单元格样式2"/>
            </w:pPr>
            <w:r>
              <w:t xml:space="preserve">街镇宣传品单位发放成本</w:t>
            </w:r>
          </w:p>
        </w:tc>
        <w:tc>
          <w:tcPr>
            <w:tcW w:w="0" w:type="auto"/>
            <w:hMerge/>
            <w:vAlign w:val="center"/>
          </w:tcPr>
          <w:p>
            <w:pPr/>
          </w:p>
        </w:tc>
        <w:tc>
          <w:tcPr>
            <w:tcW w:w="2551" w:type="dxa"/>
            <w:hMerge w:val="restart"/>
            <w:vAlign w:val="center"/>
          </w:tcPr>
          <w:p>
            <w:pPr>
              <w:pStyle w:val="单元格样式2"/>
            </w:pPr>
            <w:r>
              <w:t xml:space="preserve">≤4200元/个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区级防范非法集资主题宣传活动单位成本</w:t>
            </w:r>
          </w:p>
        </w:tc>
        <w:tc>
          <w:tcPr>
            <w:tcW w:w="3430" w:type="dxa"/>
            <w:hMerge w:val="restart"/>
            <w:vAlign w:val="center"/>
          </w:tcPr>
          <w:p>
            <w:pPr>
              <w:pStyle w:val="单元格样式2"/>
            </w:pPr>
            <w:r>
              <w:t xml:space="preserve">区级防范非法集资主题宣传活动单位成本</w:t>
            </w:r>
          </w:p>
        </w:tc>
        <w:tc>
          <w:tcPr>
            <w:tcW w:w="0" w:type="auto"/>
            <w:hMerge/>
            <w:vAlign w:val="center"/>
          </w:tcPr>
          <w:p>
            <w:pPr/>
          </w:p>
        </w:tc>
        <w:tc>
          <w:tcPr>
            <w:tcW w:w="2551" w:type="dxa"/>
            <w:hMerge w:val="restart"/>
            <w:vAlign w:val="center"/>
          </w:tcPr>
          <w:p>
            <w:pPr>
              <w:pStyle w:val="单元格样式2"/>
            </w:pPr>
            <w:r>
              <w:t xml:space="preserve">≤3000元/场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处非工作运转保障人均成本</w:t>
            </w:r>
          </w:p>
        </w:tc>
        <w:tc>
          <w:tcPr>
            <w:tcW w:w="3430" w:type="dxa"/>
            <w:hMerge w:val="restart"/>
            <w:vAlign w:val="center"/>
          </w:tcPr>
          <w:p>
            <w:pPr>
              <w:pStyle w:val="单元格样式2"/>
            </w:pPr>
            <w:r>
              <w:t xml:space="preserve">处非工作运转保障人均成本</w:t>
            </w:r>
          </w:p>
        </w:tc>
        <w:tc>
          <w:tcPr>
            <w:tcW w:w="0" w:type="auto"/>
            <w:hMerge/>
            <w:vAlign w:val="center"/>
          </w:tcPr>
          <w:p>
            <w:pPr/>
          </w:p>
        </w:tc>
        <w:tc>
          <w:tcPr>
            <w:tcW w:w="2551" w:type="dxa"/>
            <w:hMerge w:val="restart"/>
            <w:vAlign w:val="center"/>
          </w:tcPr>
          <w:p>
            <w:pPr>
              <w:pStyle w:val="单元格样式2"/>
            </w:pPr>
            <w:r>
              <w:t xml:space="preserve">≤6475元/人</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提高群众防范非法集资风险意识和遏制非法集资风险隐患</w:t>
            </w:r>
          </w:p>
        </w:tc>
        <w:tc>
          <w:tcPr>
            <w:tcW w:w="3430" w:type="dxa"/>
            <w:hMerge w:val="restart"/>
            <w:vAlign w:val="center"/>
          </w:tcPr>
          <w:p>
            <w:pPr>
              <w:pStyle w:val="单元格样式2"/>
            </w:pPr>
            <w:r>
              <w:t xml:space="preserve">提高群众防范非法集资风险意识和遏制非法集资风险隐患</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滨海新区群众满意度</w:t>
            </w:r>
          </w:p>
        </w:tc>
        <w:tc>
          <w:tcPr>
            <w:tcW w:w="3430" w:type="dxa"/>
            <w:hMerge w:val="restart"/>
            <w:vAlign w:val="center"/>
          </w:tcPr>
          <w:p>
            <w:pPr>
              <w:pStyle w:val="单元格样式2"/>
            </w:pPr>
            <w:r>
              <w:t xml:space="preserve">滨海新区群众满意度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 w:name="_Toc_4_4_0000000008"/>
      <w:r>
        <w:rPr>
          <w:rFonts w:ascii="方正仿宋_GBK" w:eastAsia="方正仿宋_GBK" w:hAnsi="方正仿宋_GBK" w:cs="方正仿宋_GBK"/>
          <w:sz w:val="28"/>
        </w:rPr>
        <w:t xml:space="preserve">5.2026年评估专项经费绩效目标表</w:t>
      </w:r>
      <w:bookmarkEnd w:id="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2026年评估专项经费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支付评估、绩效评价及审计、辅助检查费用。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1.通过对财政局及所属事业单位开展预算执行审计，确保预算资金高效使用，提高财政管理水平</w:t>
            </w:r>
          </w:p>
          <w:p>
            <w:pPr>
              <w:pStyle w:val="单元格样式2"/>
            </w:pPr>
            <w:r>
              <w:t xml:space="preserve">2.通过对各功能区及街镇开展殡葬领域财务专项整治检查，提高殡葬领域财务工作规范性</w:t>
            </w:r>
          </w:p>
          <w:p>
            <w:pPr>
              <w:pStyle w:val="单元格样式2"/>
            </w:pPr>
            <w:r>
              <w:t xml:space="preserve">3.通过对基金开展绩效评价，了解基金投资情况，加强对基金的全过程绩效管理，进一步规范基金运作管理</w:t>
            </w:r>
          </w:p>
          <w:p>
            <w:pPr>
              <w:pStyle w:val="单元格样式2"/>
            </w:pPr>
            <w:r>
              <w:t xml:space="preserve">4.通过聘请第三方对清研基金价值进行评估，保障国有资产权益</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出具执行审计报告数量</w:t>
            </w:r>
          </w:p>
        </w:tc>
        <w:tc>
          <w:tcPr>
            <w:tcW w:w="3430" w:type="dxa"/>
            <w:hMerge w:val="restart"/>
            <w:vAlign w:val="center"/>
          </w:tcPr>
          <w:p>
            <w:pPr>
              <w:pStyle w:val="单元格样式2"/>
            </w:pPr>
            <w:r>
              <w:t xml:space="preserve">出具执行审计报告数量</w:t>
            </w:r>
          </w:p>
        </w:tc>
        <w:tc>
          <w:tcPr>
            <w:tcW w:w="0" w:type="auto"/>
            <w:hMerge/>
            <w:vAlign w:val="center"/>
          </w:tcPr>
          <w:p>
            <w:pPr/>
          </w:p>
        </w:tc>
        <w:tc>
          <w:tcPr>
            <w:tcW w:w="2551" w:type="dxa"/>
            <w:hMerge w:val="restart"/>
            <w:vAlign w:val="center"/>
          </w:tcPr>
          <w:p>
            <w:pPr>
              <w:pStyle w:val="单元格样式2"/>
            </w:pPr>
            <w:r>
              <w:t xml:space="preserve">≥3份</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开展绩效评价基金数量</w:t>
            </w:r>
          </w:p>
        </w:tc>
        <w:tc>
          <w:tcPr>
            <w:tcW w:w="3430" w:type="dxa"/>
            <w:hMerge w:val="restart"/>
            <w:vAlign w:val="center"/>
          </w:tcPr>
          <w:p>
            <w:pPr>
              <w:pStyle w:val="单元格样式2"/>
            </w:pPr>
            <w:r>
              <w:t xml:space="preserve">开展绩效评价基金数量</w:t>
            </w:r>
          </w:p>
        </w:tc>
        <w:tc>
          <w:tcPr>
            <w:tcW w:w="0" w:type="auto"/>
            <w:hMerge/>
            <w:vAlign w:val="center"/>
          </w:tcPr>
          <w:p>
            <w:pPr/>
          </w:p>
        </w:tc>
        <w:tc>
          <w:tcPr>
            <w:tcW w:w="2551" w:type="dxa"/>
            <w:hMerge w:val="restart"/>
            <w:vAlign w:val="center"/>
          </w:tcPr>
          <w:p>
            <w:pPr>
              <w:pStyle w:val="单元格样式2"/>
            </w:pPr>
            <w:r>
              <w:t xml:space="preserve">1支</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开展价值评估基金数量</w:t>
            </w:r>
          </w:p>
        </w:tc>
        <w:tc>
          <w:tcPr>
            <w:tcW w:w="3430" w:type="dxa"/>
            <w:hMerge w:val="restart"/>
            <w:vAlign w:val="center"/>
          </w:tcPr>
          <w:p>
            <w:pPr>
              <w:pStyle w:val="单元格样式2"/>
            </w:pPr>
            <w:r>
              <w:t xml:space="preserve">开展价值评估基金数量</w:t>
            </w:r>
          </w:p>
        </w:tc>
        <w:tc>
          <w:tcPr>
            <w:tcW w:w="0" w:type="auto"/>
            <w:hMerge/>
            <w:vAlign w:val="center"/>
          </w:tcPr>
          <w:p>
            <w:pPr/>
          </w:p>
        </w:tc>
        <w:tc>
          <w:tcPr>
            <w:tcW w:w="2551" w:type="dxa"/>
            <w:hMerge w:val="restart"/>
            <w:vAlign w:val="center"/>
          </w:tcPr>
          <w:p>
            <w:pPr>
              <w:pStyle w:val="单元格样式2"/>
            </w:pPr>
            <w:r>
              <w:t xml:space="preserve">2支</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检查街镇、功能区数量</w:t>
            </w:r>
          </w:p>
        </w:tc>
        <w:tc>
          <w:tcPr>
            <w:tcW w:w="3430" w:type="dxa"/>
            <w:hMerge w:val="restart"/>
            <w:vAlign w:val="center"/>
          </w:tcPr>
          <w:p>
            <w:pPr>
              <w:pStyle w:val="单元格样式2"/>
            </w:pPr>
            <w:r>
              <w:t xml:space="preserve">检查街镇、功能区数量</w:t>
            </w:r>
          </w:p>
        </w:tc>
        <w:tc>
          <w:tcPr>
            <w:tcW w:w="0" w:type="auto"/>
            <w:hMerge/>
            <w:vAlign w:val="center"/>
          </w:tcPr>
          <w:p>
            <w:pPr/>
          </w:p>
        </w:tc>
        <w:tc>
          <w:tcPr>
            <w:tcW w:w="2551" w:type="dxa"/>
            <w:hMerge w:val="restart"/>
            <w:vAlign w:val="center"/>
          </w:tcPr>
          <w:p>
            <w:pPr>
              <w:pStyle w:val="单元格样式2"/>
            </w:pPr>
            <w:r>
              <w:t xml:space="preserve">≥21家</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基金价值评估报告合格率</w:t>
            </w:r>
          </w:p>
        </w:tc>
        <w:tc>
          <w:tcPr>
            <w:tcW w:w="3430" w:type="dxa"/>
            <w:hMerge w:val="restart"/>
            <w:vAlign w:val="center"/>
          </w:tcPr>
          <w:p>
            <w:pPr>
              <w:pStyle w:val="单元格样式2"/>
            </w:pPr>
            <w:r>
              <w:t xml:space="preserve">基金价值评估报告合格率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基金绩效评价报告合格率</w:t>
            </w:r>
          </w:p>
        </w:tc>
        <w:tc>
          <w:tcPr>
            <w:tcW w:w="3430" w:type="dxa"/>
            <w:hMerge w:val="restart"/>
            <w:vAlign w:val="center"/>
          </w:tcPr>
          <w:p>
            <w:pPr>
              <w:pStyle w:val="单元格样式2"/>
            </w:pPr>
            <w:r>
              <w:t xml:space="preserve">基金绩效评价报告合格率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执行审计报告合格率</w:t>
            </w:r>
          </w:p>
        </w:tc>
        <w:tc>
          <w:tcPr>
            <w:tcW w:w="3430" w:type="dxa"/>
            <w:hMerge w:val="restart"/>
            <w:vAlign w:val="center"/>
          </w:tcPr>
          <w:p>
            <w:pPr>
              <w:pStyle w:val="单元格样式2"/>
            </w:pPr>
            <w:r>
              <w:t xml:space="preserve">执行审计报告合格率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财务检查覆盖率</w:t>
            </w:r>
          </w:p>
        </w:tc>
        <w:tc>
          <w:tcPr>
            <w:tcW w:w="3430" w:type="dxa"/>
            <w:hMerge w:val="restart"/>
            <w:vAlign w:val="center"/>
          </w:tcPr>
          <w:p>
            <w:pPr>
              <w:pStyle w:val="单元格样式2"/>
            </w:pPr>
            <w:r>
              <w:t xml:space="preserve">财务检查覆盖率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基金价值评估工作完成时间</w:t>
            </w:r>
          </w:p>
        </w:tc>
        <w:tc>
          <w:tcPr>
            <w:tcW w:w="3430" w:type="dxa"/>
            <w:hMerge w:val="restart"/>
            <w:vAlign w:val="center"/>
          </w:tcPr>
          <w:p>
            <w:pPr>
              <w:pStyle w:val="单元格样式2"/>
            </w:pPr>
            <w:r>
              <w:t xml:space="preserve">基金价值评估工作完成时间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基金绩效评价工作完成时间</w:t>
            </w:r>
          </w:p>
        </w:tc>
        <w:tc>
          <w:tcPr>
            <w:tcW w:w="3430" w:type="dxa"/>
            <w:hMerge w:val="restart"/>
            <w:vAlign w:val="center"/>
          </w:tcPr>
          <w:p>
            <w:pPr>
              <w:pStyle w:val="单元格样式2"/>
            </w:pPr>
            <w:r>
              <w:t xml:space="preserve">基金绩效评价工作完成时间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执行审计工作完成时间</w:t>
            </w:r>
          </w:p>
        </w:tc>
        <w:tc>
          <w:tcPr>
            <w:tcW w:w="3430" w:type="dxa"/>
            <w:hMerge w:val="restart"/>
            <w:vAlign w:val="center"/>
          </w:tcPr>
          <w:p>
            <w:pPr>
              <w:pStyle w:val="单元格样式2"/>
            </w:pPr>
            <w:r>
              <w:t xml:space="preserve">执行审计工作完成时间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财务检查工作完成时间</w:t>
            </w:r>
          </w:p>
        </w:tc>
        <w:tc>
          <w:tcPr>
            <w:tcW w:w="3430" w:type="dxa"/>
            <w:hMerge w:val="restart"/>
            <w:vAlign w:val="center"/>
          </w:tcPr>
          <w:p>
            <w:pPr>
              <w:pStyle w:val="单元格样式2"/>
            </w:pPr>
            <w:r>
              <w:t xml:space="preserve">财务检查工作完成时间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基金价值评估成本</w:t>
            </w:r>
          </w:p>
        </w:tc>
        <w:tc>
          <w:tcPr>
            <w:tcW w:w="3430" w:type="dxa"/>
            <w:hMerge w:val="restart"/>
            <w:vAlign w:val="center"/>
          </w:tcPr>
          <w:p>
            <w:pPr>
              <w:pStyle w:val="单元格样式2"/>
            </w:pPr>
            <w:r>
              <w:t xml:space="preserve">基金价值评估成本</w:t>
            </w:r>
          </w:p>
        </w:tc>
        <w:tc>
          <w:tcPr>
            <w:tcW w:w="0" w:type="auto"/>
            <w:hMerge/>
            <w:vAlign w:val="center"/>
          </w:tcPr>
          <w:p>
            <w:pPr/>
          </w:p>
        </w:tc>
        <w:tc>
          <w:tcPr>
            <w:tcW w:w="2551" w:type="dxa"/>
            <w:hMerge w:val="restart"/>
            <w:vAlign w:val="center"/>
          </w:tcPr>
          <w:p>
            <w:pPr>
              <w:pStyle w:val="单元格样式2"/>
            </w:pPr>
            <w:r>
              <w:t xml:space="preserve">≤20万元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基金绩效评价成本</w:t>
            </w:r>
          </w:p>
        </w:tc>
        <w:tc>
          <w:tcPr>
            <w:tcW w:w="3430" w:type="dxa"/>
            <w:hMerge w:val="restart"/>
            <w:vAlign w:val="center"/>
          </w:tcPr>
          <w:p>
            <w:pPr>
              <w:pStyle w:val="单元格样式2"/>
            </w:pPr>
            <w:r>
              <w:t xml:space="preserve">基金绩效评价成本</w:t>
            </w:r>
          </w:p>
        </w:tc>
        <w:tc>
          <w:tcPr>
            <w:tcW w:w="0" w:type="auto"/>
            <w:hMerge/>
            <w:vAlign w:val="center"/>
          </w:tcPr>
          <w:p>
            <w:pPr/>
          </w:p>
        </w:tc>
        <w:tc>
          <w:tcPr>
            <w:tcW w:w="2551" w:type="dxa"/>
            <w:hMerge w:val="restart"/>
            <w:vAlign w:val="center"/>
          </w:tcPr>
          <w:p>
            <w:pPr>
              <w:pStyle w:val="单元格样式2"/>
            </w:pPr>
            <w:r>
              <w:t xml:space="preserve">≤11万元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执行审计成本</w:t>
            </w:r>
          </w:p>
        </w:tc>
        <w:tc>
          <w:tcPr>
            <w:tcW w:w="3430" w:type="dxa"/>
            <w:hMerge w:val="restart"/>
            <w:vAlign w:val="center"/>
          </w:tcPr>
          <w:p>
            <w:pPr>
              <w:pStyle w:val="单元格样式2"/>
            </w:pPr>
            <w:r>
              <w:t xml:space="preserve">执行审计成本</w:t>
            </w:r>
          </w:p>
        </w:tc>
        <w:tc>
          <w:tcPr>
            <w:tcW w:w="0" w:type="auto"/>
            <w:hMerge/>
            <w:vAlign w:val="center"/>
          </w:tcPr>
          <w:p>
            <w:pPr/>
          </w:p>
        </w:tc>
        <w:tc>
          <w:tcPr>
            <w:tcW w:w="2551" w:type="dxa"/>
            <w:hMerge w:val="restart"/>
            <w:vAlign w:val="center"/>
          </w:tcPr>
          <w:p>
            <w:pPr>
              <w:pStyle w:val="单元格样式2"/>
            </w:pPr>
            <w:r>
              <w:t xml:space="preserve">≤20万元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财务辅助检查成本</w:t>
            </w:r>
          </w:p>
        </w:tc>
        <w:tc>
          <w:tcPr>
            <w:tcW w:w="3430" w:type="dxa"/>
            <w:hMerge w:val="restart"/>
            <w:vAlign w:val="center"/>
          </w:tcPr>
          <w:p>
            <w:pPr>
              <w:pStyle w:val="单元格样式2"/>
            </w:pPr>
            <w:r>
              <w:t xml:space="preserve">财务辅助检查成本</w:t>
            </w:r>
          </w:p>
        </w:tc>
        <w:tc>
          <w:tcPr>
            <w:tcW w:w="0" w:type="auto"/>
            <w:hMerge/>
            <w:vAlign w:val="center"/>
          </w:tcPr>
          <w:p>
            <w:pPr/>
          </w:p>
        </w:tc>
        <w:tc>
          <w:tcPr>
            <w:tcW w:w="2551" w:type="dxa"/>
            <w:hMerge w:val="restart"/>
            <w:vAlign w:val="center"/>
          </w:tcPr>
          <w:p>
            <w:pPr>
              <w:pStyle w:val="单元格样式2"/>
            </w:pPr>
            <w:r>
              <w:t xml:space="preserve">≤4万元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提高财政资金管理水平，确保预算资金有效使用</w:t>
            </w:r>
          </w:p>
        </w:tc>
        <w:tc>
          <w:tcPr>
            <w:tcW w:w="3430" w:type="dxa"/>
            <w:hMerge w:val="restart"/>
            <w:vAlign w:val="center"/>
          </w:tcPr>
          <w:p>
            <w:pPr>
              <w:pStyle w:val="单元格样式2"/>
            </w:pPr>
            <w:r>
              <w:t xml:space="preserve">提高财政资金管理水平，确保预算资金有效使用</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加强对基金的全过程绩效管理，进一步规范基金运作管理。</w:t>
            </w:r>
          </w:p>
        </w:tc>
        <w:tc>
          <w:tcPr>
            <w:tcW w:w="3430" w:type="dxa"/>
            <w:hMerge w:val="restart"/>
            <w:vAlign w:val="center"/>
          </w:tcPr>
          <w:p>
            <w:pPr>
              <w:pStyle w:val="单元格样式2"/>
            </w:pPr>
            <w:r>
              <w:t xml:space="preserve">加强对基金的全过程绩效管理，进一步规范基金运作管理。</w:t>
            </w:r>
          </w:p>
        </w:tc>
        <w:tc>
          <w:tcPr>
            <w:tcW w:w="0" w:type="auto"/>
            <w:hMerge/>
            <w:vAlign w:val="center"/>
          </w:tcPr>
          <w:p>
            <w:pPr/>
          </w:p>
        </w:tc>
        <w:tc>
          <w:tcPr>
            <w:tcW w:w="2551" w:type="dxa"/>
            <w:hMerge w:val="restart"/>
            <w:vAlign w:val="center"/>
          </w:tcPr>
          <w:p>
            <w:pPr>
              <w:pStyle w:val="单元格样式2"/>
            </w:pPr>
            <w:r>
              <w:t xml:space="preserve">有效加强</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保障国有资产权益</w:t>
            </w:r>
          </w:p>
        </w:tc>
        <w:tc>
          <w:tcPr>
            <w:tcW w:w="3430" w:type="dxa"/>
            <w:hMerge w:val="restart"/>
            <w:vAlign w:val="center"/>
          </w:tcPr>
          <w:p>
            <w:pPr>
              <w:pStyle w:val="单元格样式2"/>
            </w:pPr>
            <w:r>
              <w:t xml:space="preserve">保障国有资产权益</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提高殡葬领域财务规范性</w:t>
            </w:r>
          </w:p>
        </w:tc>
        <w:tc>
          <w:tcPr>
            <w:tcW w:w="3430" w:type="dxa"/>
            <w:hMerge w:val="restart"/>
            <w:vAlign w:val="center"/>
          </w:tcPr>
          <w:p>
            <w:pPr>
              <w:pStyle w:val="单元格样式2"/>
            </w:pPr>
            <w:r>
              <w:t xml:space="preserve">提高殡葬领域财务规范性</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评价、评估对象满意度</w:t>
            </w:r>
          </w:p>
        </w:tc>
        <w:tc>
          <w:tcPr>
            <w:tcW w:w="3430" w:type="dxa"/>
            <w:hMerge w:val="restart"/>
            <w:vAlign w:val="center"/>
          </w:tcPr>
          <w:p>
            <w:pPr>
              <w:pStyle w:val="单元格样式2"/>
            </w:pPr>
            <w:r>
              <w:t xml:space="preserve">评价对象满意度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评估对象满意度</w:t>
            </w:r>
          </w:p>
        </w:tc>
        <w:tc>
          <w:tcPr>
            <w:tcW w:w="3430" w:type="dxa"/>
            <w:hMerge w:val="restart"/>
            <w:vAlign w:val="center"/>
          </w:tcPr>
          <w:p>
            <w:pPr>
              <w:pStyle w:val="单元格样式2"/>
            </w:pPr>
            <w:r>
              <w:t xml:space="preserve">评估对象满意度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被检查街镇、功能区满意度</w:t>
            </w:r>
          </w:p>
        </w:tc>
        <w:tc>
          <w:tcPr>
            <w:tcW w:w="3430" w:type="dxa"/>
            <w:hMerge w:val="restart"/>
            <w:vAlign w:val="center"/>
          </w:tcPr>
          <w:p>
            <w:pPr>
              <w:pStyle w:val="单元格样式2"/>
            </w:pPr>
            <w:r>
              <w:t xml:space="preserve">被检查街镇、功能区满意度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被审计单位满意度</w:t>
            </w:r>
          </w:p>
        </w:tc>
        <w:tc>
          <w:tcPr>
            <w:tcW w:w="3430" w:type="dxa"/>
            <w:hMerge w:val="restart"/>
            <w:vAlign w:val="center"/>
          </w:tcPr>
          <w:p>
            <w:pPr>
              <w:pStyle w:val="单元格样式2"/>
            </w:pPr>
            <w:r>
              <w:t xml:space="preserve">被审计单位满意度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 w:name="_Toc_4_4_0000000009"/>
      <w:r>
        <w:rPr>
          <w:rFonts w:ascii="方正仿宋_GBK" w:eastAsia="方正仿宋_GBK" w:hAnsi="方正仿宋_GBK" w:cs="方正仿宋_GBK"/>
          <w:sz w:val="28"/>
        </w:rPr>
        <w:t xml:space="preserve">6.滨海新区金融业创新发展“十五五”规划经费（高质量发展专项资金）绩效目标表</w:t>
      </w:r>
      <w:bookmarkEnd w:id="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351101天津市滨海新区财政局</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滨海新区金融业创新发展“十五五”规划经费（高质量发展专项资金）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423000.00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423000.00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支付十五五规划编制费用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1.通过编制金融业创新发展“十五五”规划，提出五年规划重点发展任务，进而提升区域金融业综合发展质效，实现金融服务实体经济高质量发展目标，力争2030年实现金融业增加值占比全区GDP水平显著提升。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“十五五”规划成果数量</w:t>
            </w:r>
          </w:p>
        </w:tc>
        <w:tc>
          <w:tcPr>
            <w:tcW w:w="3430" w:type="dxa"/>
            <w:hMerge w:val="restart"/>
            <w:vAlign w:val="center"/>
          </w:tcPr>
          <w:p>
            <w:pPr>
              <w:pStyle w:val="单元格样式2"/>
            </w:pPr>
            <w:r>
              <w:t xml:space="preserve">“十五五”规划成果数量</w:t>
            </w:r>
          </w:p>
        </w:tc>
        <w:tc>
          <w:tcPr>
            <w:tcW w:w="0" w:type="auto"/>
            <w:hMerge/>
            <w:vAlign w:val="center"/>
          </w:tcPr>
          <w:p>
            <w:pPr/>
          </w:p>
        </w:tc>
        <w:tc>
          <w:tcPr>
            <w:tcW w:w="2551" w:type="dxa"/>
            <w:hMerge w:val="restart"/>
            <w:vAlign w:val="center"/>
          </w:tcPr>
          <w:p>
            <w:pPr>
              <w:pStyle w:val="单元格样式2"/>
            </w:pPr>
            <w:r>
              <w:t xml:space="preserve">1份</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“十五五”规划评审通过率</w:t>
            </w:r>
          </w:p>
        </w:tc>
        <w:tc>
          <w:tcPr>
            <w:tcW w:w="3430" w:type="dxa"/>
            <w:hMerge w:val="restart"/>
            <w:vAlign w:val="center"/>
          </w:tcPr>
          <w:p>
            <w:pPr>
              <w:pStyle w:val="单元格样式2"/>
            </w:pPr>
            <w:r>
              <w:t xml:space="preserve">“十五五”规划评审通过率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“十五五”规划完成时间</w:t>
            </w:r>
          </w:p>
        </w:tc>
        <w:tc>
          <w:tcPr>
            <w:tcW w:w="3430" w:type="dxa"/>
            <w:hMerge w:val="restart"/>
            <w:vAlign w:val="center"/>
          </w:tcPr>
          <w:p>
            <w:pPr>
              <w:pStyle w:val="单元格样式2"/>
            </w:pPr>
            <w:r>
              <w:t xml:space="preserve">“十五五”规划完成时间</w:t>
            </w:r>
          </w:p>
        </w:tc>
        <w:tc>
          <w:tcPr>
            <w:tcW w:w="0" w:type="auto"/>
            <w:hMerge/>
            <w:vAlign w:val="center"/>
          </w:tcPr>
          <w:p>
            <w:pPr/>
          </w:p>
        </w:tc>
        <w:tc>
          <w:tcPr>
            <w:tcW w:w="2551" w:type="dxa"/>
            <w:hMerge w:val="restart"/>
            <w:vAlign w:val="center"/>
          </w:tcPr>
          <w:p>
            <w:pPr>
              <w:pStyle w:val="单元格样式2"/>
            </w:pPr>
            <w:r>
              <w:t xml:space="preserve">2026年6月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出具“十五五”规划费用</w:t>
            </w:r>
          </w:p>
        </w:tc>
        <w:tc>
          <w:tcPr>
            <w:tcW w:w="3430" w:type="dxa"/>
            <w:hMerge w:val="restart"/>
            <w:vAlign w:val="center"/>
          </w:tcPr>
          <w:p>
            <w:pPr>
              <w:pStyle w:val="单元格样式2"/>
            </w:pPr>
            <w:r>
              <w:t xml:space="preserve">出具“十五五”规划费用</w:t>
            </w:r>
          </w:p>
        </w:tc>
        <w:tc>
          <w:tcPr>
            <w:tcW w:w="0" w:type="auto"/>
            <w:hMerge/>
            <w:vAlign w:val="center"/>
          </w:tcPr>
          <w:p>
            <w:pPr/>
          </w:p>
        </w:tc>
        <w:tc>
          <w:tcPr>
            <w:tcW w:w="2551" w:type="dxa"/>
            <w:hMerge w:val="restart"/>
            <w:vAlign w:val="center"/>
          </w:tcPr>
          <w:p>
            <w:pPr>
              <w:pStyle w:val="单元格样式2"/>
            </w:pPr>
            <w:r>
              <w:t xml:space="preserve">≤42.3万元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提高信贷投放水平</w:t>
            </w:r>
          </w:p>
        </w:tc>
        <w:tc>
          <w:tcPr>
            <w:tcW w:w="3430" w:type="dxa"/>
            <w:hMerge w:val="restart"/>
            <w:vAlign w:val="center"/>
          </w:tcPr>
          <w:p>
            <w:pPr>
              <w:pStyle w:val="单元格样式2"/>
            </w:pPr>
            <w:r>
              <w:t xml:space="preserve">提高信贷投放水平</w:t>
            </w: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五大开发区对重点规划任务设置的满意度</w:t>
            </w:r>
          </w:p>
        </w:tc>
        <w:tc>
          <w:tcPr>
            <w:tcW w:w="3430" w:type="dxa"/>
            <w:hMerge w:val="restart"/>
            <w:vAlign w:val="center"/>
          </w:tcPr>
          <w:p>
            <w:pPr>
              <w:pStyle w:val="单元格样式2"/>
            </w:pPr>
            <w:r>
              <w:t xml:space="preserve">五大开发区对重点规划任务设置的满意度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 w:name="_Toc_4_4_0000000010"/>
      <w:r>
        <w:rPr>
          <w:rFonts w:ascii="方正仿宋_GBK" w:eastAsia="方正仿宋_GBK" w:hAnsi="方正仿宋_GBK" w:cs="方正仿宋_GBK"/>
          <w:sz w:val="28"/>
        </w:rPr>
        <w:t xml:space="preserve">7.2026年财政信息系统运维经费绩效目标表</w:t>
      </w:r>
      <w:bookmarkEnd w:id="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351201天津市滨海新区财政综合服务中心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2026年财政信息系统运维经费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本项目经费用于支付2026年工资统发系统运维费8万元及2026年中科江南预算单位财务服务平台系统运维费7.5万元。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1.通过聘用第三方负责运维工作，保障工资统发系统、中科江南预算单位财务服务平台等系统正常运行。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运维信息系统数量</w:t>
            </w:r>
          </w:p>
        </w:tc>
        <w:tc>
          <w:tcPr>
            <w:tcW w:w="3430" w:type="dxa"/>
            <w:hMerge w:val="restart"/>
            <w:vAlign w:val="center"/>
          </w:tcPr>
          <w:p>
            <w:pPr>
              <w:pStyle w:val="单元格样式2"/>
            </w:pPr>
            <w:r>
              <w:t xml:space="preserve">运维信息系统数量</w:t>
            </w:r>
          </w:p>
        </w:tc>
        <w:tc>
          <w:tcPr>
            <w:tcW w:w="0" w:type="auto"/>
            <w:hMerge/>
            <w:vAlign w:val="center"/>
          </w:tcPr>
          <w:p>
            <w:pPr/>
          </w:p>
        </w:tc>
        <w:tc>
          <w:tcPr>
            <w:tcW w:w="2551" w:type="dxa"/>
            <w:hMerge w:val="restart"/>
            <w:vAlign w:val="center"/>
          </w:tcPr>
          <w:p>
            <w:pPr>
              <w:pStyle w:val="单元格样式2"/>
            </w:pPr>
            <w:r>
              <w:t xml:space="preserve">≥3个</w:t>
            </w:r>
          </w:p>
        </w:tc>
        <w:tc>
          <w:tcPr>
            <w:tcW w:w="0" w:type="auto"/>
            <w:hMerge/>
          </w:tcPr>
          <w:p>
            <w:pPr>
              <w:pStyle w:val="单元格样式2"/>
            </w:pPr>
            <w:r>
              <w:t xml:space="preserve">根据往年实际情况</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运维验收合格率</w:t>
            </w:r>
          </w:p>
        </w:tc>
        <w:tc>
          <w:tcPr>
            <w:tcW w:w="3430" w:type="dxa"/>
            <w:hMerge w:val="restart"/>
            <w:vAlign w:val="center"/>
          </w:tcPr>
          <w:p>
            <w:pPr>
              <w:pStyle w:val="单元格样式2"/>
            </w:pPr>
            <w:r>
              <w:t xml:space="preserve">运维验收合格率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根据往年实际情况</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系统运维成本</w:t>
            </w:r>
          </w:p>
        </w:tc>
        <w:tc>
          <w:tcPr>
            <w:tcW w:w="3430" w:type="dxa"/>
            <w:hMerge w:val="restart"/>
            <w:vAlign w:val="center"/>
          </w:tcPr>
          <w:p>
            <w:pPr>
              <w:pStyle w:val="单元格样式2"/>
            </w:pPr>
            <w:r>
              <w:t xml:space="preserve">系统运维成本</w:t>
            </w:r>
          </w:p>
        </w:tc>
        <w:tc>
          <w:tcPr>
            <w:tcW w:w="0" w:type="auto"/>
            <w:hMerge/>
            <w:vAlign w:val="center"/>
          </w:tcPr>
          <w:p>
            <w:pPr/>
          </w:p>
        </w:tc>
        <w:tc>
          <w:tcPr>
            <w:tcW w:w="2551" w:type="dxa"/>
            <w:hMerge w:val="restart"/>
            <w:vAlign w:val="center"/>
          </w:tcPr>
          <w:p>
            <w:pPr>
              <w:pStyle w:val="单元格样式2"/>
            </w:pPr>
            <w:r>
              <w:t xml:space="preserve">≤15.5万元</w:t>
            </w:r>
          </w:p>
        </w:tc>
        <w:tc>
          <w:tcPr>
            <w:tcW w:w="0" w:type="auto"/>
            <w:hMerge/>
          </w:tcPr>
          <w:p>
            <w:pPr>
              <w:pStyle w:val="单元格样式2"/>
            </w:pPr>
            <w:r>
              <w:t xml:space="preserve">根据往年实际情况</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故障响应时间</w:t>
            </w:r>
          </w:p>
        </w:tc>
        <w:tc>
          <w:tcPr>
            <w:tcW w:w="3430" w:type="dxa"/>
            <w:hMerge w:val="restart"/>
            <w:vAlign w:val="center"/>
          </w:tcPr>
          <w:p>
            <w:pPr>
              <w:pStyle w:val="单元格样式2"/>
            </w:pPr>
            <w:r>
              <w:t xml:space="preserve">故障响应时间</w:t>
            </w:r>
          </w:p>
        </w:tc>
        <w:tc>
          <w:tcPr>
            <w:tcW w:w="0" w:type="auto"/>
            <w:hMerge/>
            <w:vAlign w:val="center"/>
          </w:tcPr>
          <w:p>
            <w:pPr/>
          </w:p>
        </w:tc>
        <w:tc>
          <w:tcPr>
            <w:tcW w:w="2551" w:type="dxa"/>
            <w:hMerge w:val="restart"/>
            <w:vAlign w:val="center"/>
          </w:tcPr>
          <w:p>
            <w:pPr>
              <w:pStyle w:val="单元格样式2"/>
            </w:pPr>
            <w:r>
              <w:t xml:space="preserve">≤24小时</w:t>
            </w:r>
          </w:p>
        </w:tc>
        <w:tc>
          <w:tcPr>
            <w:tcW w:w="0" w:type="auto"/>
            <w:hMerge/>
          </w:tcPr>
          <w:p>
            <w:pPr>
              <w:pStyle w:val="单元格样式2"/>
            </w:pPr>
            <w:r>
              <w:t xml:space="preserve">根据往年实际情况</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系统长期稳定运行</w:t>
            </w:r>
          </w:p>
        </w:tc>
        <w:tc>
          <w:tcPr>
            <w:tcW w:w="3430" w:type="dxa"/>
            <w:hMerge w:val="restart"/>
            <w:vAlign w:val="center"/>
          </w:tcPr>
          <w:p>
            <w:pPr>
              <w:pStyle w:val="单元格样式2"/>
            </w:pPr>
            <w:r>
              <w:t xml:space="preserve">系统长期稳定运行</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根据往年实际情况</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单位员工满意度</w:t>
            </w:r>
          </w:p>
        </w:tc>
        <w:tc>
          <w:tcPr>
            <w:tcW w:w="3430" w:type="dxa"/>
            <w:hMerge w:val="restart"/>
            <w:vAlign w:val="center"/>
          </w:tcPr>
          <w:p>
            <w:pPr>
              <w:pStyle w:val="单元格样式2"/>
            </w:pPr>
            <w:r>
              <w:t xml:space="preserve">单位员工满意度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根据实际情况</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 w:name="_Toc_4_4_0000000011"/>
      <w:r>
        <w:rPr>
          <w:rFonts w:ascii="方正仿宋_GBK" w:eastAsia="方正仿宋_GBK" w:hAnsi="方正仿宋_GBK" w:cs="方正仿宋_GBK"/>
          <w:sz w:val="28"/>
        </w:rPr>
        <w:t xml:space="preserve">8.2026年政府采购工作专项经费绩效目标表</w:t>
      </w:r>
      <w:bookmarkEnd w:id="1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351201天津市滨海新区财政综合服务中心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2026年政府采购工作专项经费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本项目资金用于支付政府采购专家评审劳务费。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1.执行政府采购相关法律法规和规章制度；根据采购人的委托办理政府集中采购具体事宜，合理节约财政资金，提高财政资金使用效益。</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接受委托人委托数量</w:t>
            </w:r>
          </w:p>
        </w:tc>
        <w:tc>
          <w:tcPr>
            <w:tcW w:w="3430" w:type="dxa"/>
            <w:hMerge w:val="restart"/>
            <w:vAlign w:val="center"/>
          </w:tcPr>
          <w:p>
            <w:pPr>
              <w:pStyle w:val="单元格样式2"/>
            </w:pPr>
            <w:r>
              <w:t xml:space="preserve">接受采购人委托数量</w:t>
            </w:r>
          </w:p>
        </w:tc>
        <w:tc>
          <w:tcPr>
            <w:tcW w:w="0" w:type="auto"/>
            <w:hMerge/>
            <w:vAlign w:val="center"/>
          </w:tcPr>
          <w:p>
            <w:pPr/>
          </w:p>
        </w:tc>
        <w:tc>
          <w:tcPr>
            <w:tcW w:w="2551" w:type="dxa"/>
            <w:hMerge w:val="restart"/>
            <w:vAlign w:val="center"/>
          </w:tcPr>
          <w:p>
            <w:pPr>
              <w:pStyle w:val="单元格样式2"/>
            </w:pPr>
            <w:r>
              <w:t xml:space="preserve">≥300个</w:t>
            </w:r>
          </w:p>
        </w:tc>
        <w:tc>
          <w:tcPr>
            <w:tcW w:w="0" w:type="auto"/>
            <w:hMerge/>
          </w:tcPr>
          <w:p>
            <w:pPr>
              <w:pStyle w:val="单元格样式2"/>
            </w:pPr>
            <w:r>
              <w:t xml:space="preserve">依据实际执行情况</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项目完成合格率</w:t>
            </w:r>
          </w:p>
        </w:tc>
        <w:tc>
          <w:tcPr>
            <w:tcW w:w="3430" w:type="dxa"/>
            <w:hMerge w:val="restart"/>
            <w:vAlign w:val="center"/>
          </w:tcPr>
          <w:p>
            <w:pPr>
              <w:pStyle w:val="单元格样式2"/>
            </w:pPr>
            <w:r>
              <w:t xml:space="preserve">项目完成合格率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依据实际执行情况</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项目招标安排期限</w:t>
            </w:r>
          </w:p>
        </w:tc>
        <w:tc>
          <w:tcPr>
            <w:tcW w:w="3430" w:type="dxa"/>
            <w:hMerge w:val="restart"/>
            <w:vAlign w:val="center"/>
          </w:tcPr>
          <w:p>
            <w:pPr>
              <w:pStyle w:val="单元格样式2"/>
            </w:pPr>
            <w:r>
              <w:t xml:space="preserve">项目招标安排期限</w:t>
            </w:r>
          </w:p>
        </w:tc>
        <w:tc>
          <w:tcPr>
            <w:tcW w:w="0" w:type="auto"/>
            <w:hMerge/>
            <w:vAlign w:val="center"/>
          </w:tcPr>
          <w:p>
            <w:pPr/>
          </w:p>
        </w:tc>
        <w:tc>
          <w:tcPr>
            <w:tcW w:w="2551" w:type="dxa"/>
            <w:hMerge w:val="restart"/>
            <w:vAlign w:val="center"/>
          </w:tcPr>
          <w:p>
            <w:pPr>
              <w:pStyle w:val="单元格样式2"/>
            </w:pPr>
            <w:r>
              <w:t xml:space="preserve">≤1个月</w:t>
            </w:r>
          </w:p>
        </w:tc>
        <w:tc>
          <w:tcPr>
            <w:tcW w:w="0" w:type="auto"/>
            <w:hMerge/>
          </w:tcPr>
          <w:p>
            <w:pPr>
              <w:pStyle w:val="单元格样式2"/>
            </w:pPr>
            <w:r>
              <w:t xml:space="preserve">依据实际情况确定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支付政府采购专家费用</w:t>
            </w:r>
          </w:p>
        </w:tc>
        <w:tc>
          <w:tcPr>
            <w:tcW w:w="3430" w:type="dxa"/>
            <w:hMerge w:val="restart"/>
            <w:vAlign w:val="center"/>
          </w:tcPr>
          <w:p>
            <w:pPr>
              <w:pStyle w:val="单元格样式2"/>
            </w:pPr>
            <w:r>
              <w:t xml:space="preserve">支付政府采购专家费用</w:t>
            </w:r>
          </w:p>
        </w:tc>
        <w:tc>
          <w:tcPr>
            <w:tcW w:w="0" w:type="auto"/>
            <w:hMerge/>
            <w:vAlign w:val="center"/>
          </w:tcPr>
          <w:p>
            <w:pPr/>
          </w:p>
        </w:tc>
        <w:tc>
          <w:tcPr>
            <w:tcW w:w="2551" w:type="dxa"/>
            <w:hMerge w:val="restart"/>
            <w:vAlign w:val="center"/>
          </w:tcPr>
          <w:p>
            <w:pPr>
              <w:pStyle w:val="单元格样式2"/>
            </w:pPr>
            <w:r>
              <w:t xml:space="preserve">≤60万元</w:t>
            </w:r>
          </w:p>
        </w:tc>
        <w:tc>
          <w:tcPr>
            <w:tcW w:w="0" w:type="auto"/>
            <w:hMerge/>
          </w:tcPr>
          <w:p>
            <w:pPr>
              <w:pStyle w:val="单元格样式2"/>
            </w:pPr>
            <w:r>
              <w:t xml:space="preserve">依据实际情况确定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政府采购成本降低率</w:t>
            </w:r>
          </w:p>
        </w:tc>
        <w:tc>
          <w:tcPr>
            <w:tcW w:w="3430" w:type="dxa"/>
            <w:hMerge w:val="restart"/>
            <w:vAlign w:val="center"/>
          </w:tcPr>
          <w:p>
            <w:pPr>
              <w:pStyle w:val="单元格样式2"/>
            </w:pPr>
            <w:r>
              <w:t xml:space="preserve">政府采购成本降低率</w:t>
            </w:r>
          </w:p>
        </w:tc>
        <w:tc>
          <w:tcPr>
            <w:tcW w:w="0" w:type="auto"/>
            <w:hMerge/>
            <w:vAlign w:val="center"/>
          </w:tcPr>
          <w:p>
            <w:pPr/>
          </w:p>
        </w:tc>
        <w:tc>
          <w:tcPr>
            <w:tcW w:w="2551" w:type="dxa"/>
            <w:hMerge w:val="restart"/>
            <w:vAlign w:val="center"/>
          </w:tcPr>
          <w:p>
            <w:pPr>
              <w:pStyle w:val="单元格样式2"/>
            </w:pPr>
            <w:r>
              <w:t xml:space="preserve">≥10%</w:t>
            </w:r>
          </w:p>
        </w:tc>
        <w:tc>
          <w:tcPr>
            <w:tcW w:w="0" w:type="auto"/>
            <w:hMerge/>
          </w:tcPr>
          <w:p>
            <w:pPr>
              <w:pStyle w:val="单元格样式2"/>
            </w:pPr>
            <w:r>
              <w:t xml:space="preserve">依据实际情况确定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节省财政资金，提高财政资金使用效益</w:t>
            </w:r>
          </w:p>
        </w:tc>
        <w:tc>
          <w:tcPr>
            <w:tcW w:w="3430" w:type="dxa"/>
            <w:hMerge w:val="restart"/>
            <w:vAlign w:val="center"/>
          </w:tcPr>
          <w:p>
            <w:pPr>
              <w:pStyle w:val="单元格样式2"/>
            </w:pPr>
            <w:r>
              <w:t xml:space="preserve">节省财政资金，提高财政资金使用效益</w:t>
            </w:r>
          </w:p>
        </w:tc>
        <w:tc>
          <w:tcPr>
            <w:tcW w:w="0" w:type="auto"/>
            <w:hMerge/>
            <w:vAlign w:val="center"/>
          </w:tcPr>
          <w:p>
            <w:pPr/>
          </w:p>
        </w:tc>
        <w:tc>
          <w:tcPr>
            <w:tcW w:w="2551" w:type="dxa"/>
            <w:hMerge w:val="restart"/>
            <w:vAlign w:val="center"/>
          </w:tcPr>
          <w:p>
            <w:pPr>
              <w:pStyle w:val="单元格样式2"/>
            </w:pPr>
            <w:r>
              <w:t xml:space="preserve">效果良好</w:t>
            </w:r>
          </w:p>
        </w:tc>
        <w:tc>
          <w:tcPr>
            <w:tcW w:w="0" w:type="auto"/>
            <w:hMerge/>
          </w:tcPr>
          <w:p>
            <w:pPr>
              <w:pStyle w:val="单元格样式2"/>
            </w:pPr>
            <w:r>
              <w:t xml:space="preserve">依据实际情况确定</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政府采购委托单位满意度</w:t>
            </w:r>
          </w:p>
        </w:tc>
        <w:tc>
          <w:tcPr>
            <w:tcW w:w="3430" w:type="dxa"/>
            <w:hMerge w:val="restart"/>
            <w:vAlign w:val="center"/>
          </w:tcPr>
          <w:p>
            <w:pPr>
              <w:pStyle w:val="单元格样式2"/>
            </w:pPr>
            <w:r>
              <w:t xml:space="preserve">政府采购委托单位满意度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依据实际情况确定</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1" w:name="_Toc_4_4_0000000012"/>
      <w:r>
        <w:rPr>
          <w:rFonts w:ascii="方正仿宋_GBK" w:eastAsia="方正仿宋_GBK" w:hAnsi="方正仿宋_GBK" w:cs="方正仿宋_GBK"/>
          <w:sz w:val="28"/>
        </w:rPr>
        <w:t xml:space="preserve">9.2026年编制外长聘人员经费项目（机关事业单位辅助人员）绩效目标表</w:t>
      </w:r>
      <w:bookmarkEnd w:id="1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351201天津市滨海新区财政综合服务中心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2026年编制外长聘人员经费项目（机关事业单位辅助人员）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1481400.00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1481400.00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2026年多种用工人员经费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≥18人</w:t>
            </w:r>
          </w:p>
        </w:tc>
        <w:tc>
          <w:tcPr>
            <w:tcW w:w="0" w:type="auto"/>
            <w:hMerge/>
          </w:tcPr>
          <w:p>
            <w:pPr>
              <w:pStyle w:val="单元格样式2"/>
            </w:pPr>
            <w:r>
              <w:t xml:space="preserve">根据实际情况确定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r>
              <w:t xml:space="preserve">根据实际情况确定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≤8.23万元/年/人</w:t>
            </w:r>
          </w:p>
        </w:tc>
        <w:tc>
          <w:tcPr>
            <w:tcW w:w="0" w:type="auto"/>
            <w:hMerge/>
          </w:tcPr>
          <w:p>
            <w:pPr>
              <w:pStyle w:val="单元格样式2"/>
            </w:pPr>
            <w:r>
              <w:t xml:space="preserve">根据2024年实际执行情况</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根据实际情况确定</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根据实际情况确定</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2" w:name="_Toc_4_4_0000000013"/>
      <w:r>
        <w:rPr>
          <w:rFonts w:ascii="方正仿宋_GBK" w:eastAsia="方正仿宋_GBK" w:hAnsi="方正仿宋_GBK" w:cs="方正仿宋_GBK"/>
          <w:sz w:val="28"/>
        </w:rPr>
        <w:t xml:space="preserve">10.2026年绩效管理服务费绩效目标表</w:t>
      </w:r>
      <w:bookmarkEnd w:id="1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351201天津市滨海新区财政综合服务中心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2026年绩效管理服务费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2150000.00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2150000.00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本项目经费用于支付事前绩效评估10个项目60万元；重点监控8个项目48万元；项目重点评价10个项目75万元；部门整体重点评价4个部门（含二级单位）32万元。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1.通过聘请第三方开展绩效管理服务，提升财政绩效管理水平，提高财政资金使用效能。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事前绩效评估项目数量</w:t>
            </w:r>
          </w:p>
        </w:tc>
        <w:tc>
          <w:tcPr>
            <w:tcW w:w="3430" w:type="dxa"/>
            <w:hMerge w:val="restart"/>
            <w:vAlign w:val="center"/>
          </w:tcPr>
          <w:p>
            <w:pPr>
              <w:pStyle w:val="单元格样式2"/>
            </w:pPr>
            <w:r>
              <w:t xml:space="preserve">事前绩效评估项目数量</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重点项目监控数量</w:t>
            </w:r>
          </w:p>
        </w:tc>
        <w:tc>
          <w:tcPr>
            <w:tcW w:w="3430" w:type="dxa"/>
            <w:hMerge w:val="restart"/>
            <w:vAlign w:val="center"/>
          </w:tcPr>
          <w:p>
            <w:pPr>
              <w:pStyle w:val="单元格样式2"/>
            </w:pPr>
            <w:r>
              <w:t xml:space="preserve">重点项目监控数量</w:t>
            </w:r>
          </w:p>
        </w:tc>
        <w:tc>
          <w:tcPr>
            <w:tcW w:w="0" w:type="auto"/>
            <w:hMerge/>
            <w:vAlign w:val="center"/>
          </w:tcPr>
          <w:p>
            <w:pPr/>
          </w:p>
        </w:tc>
        <w:tc>
          <w:tcPr>
            <w:tcW w:w="2551" w:type="dxa"/>
            <w:hMerge w:val="restart"/>
            <w:vAlign w:val="center"/>
          </w:tcPr>
          <w:p>
            <w:pPr>
              <w:pStyle w:val="单元格样式2"/>
            </w:pPr>
            <w:r>
              <w:t xml:space="preserve">≥8个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重点项目评价数量</w:t>
            </w:r>
          </w:p>
        </w:tc>
        <w:tc>
          <w:tcPr>
            <w:tcW w:w="3430" w:type="dxa"/>
            <w:hMerge w:val="restart"/>
            <w:vAlign w:val="center"/>
          </w:tcPr>
          <w:p>
            <w:pPr>
              <w:pStyle w:val="单元格样式2"/>
            </w:pPr>
            <w:r>
              <w:t xml:space="preserve">重点项目评价数量</w:t>
            </w:r>
          </w:p>
        </w:tc>
        <w:tc>
          <w:tcPr>
            <w:tcW w:w="0" w:type="auto"/>
            <w:hMerge/>
            <w:vAlign w:val="center"/>
          </w:tcPr>
          <w:p>
            <w:pPr/>
          </w:p>
        </w:tc>
        <w:tc>
          <w:tcPr>
            <w:tcW w:w="2551" w:type="dxa"/>
            <w:hMerge w:val="restart"/>
            <w:vAlign w:val="center"/>
          </w:tcPr>
          <w:p>
            <w:pPr>
              <w:pStyle w:val="单元格样式2"/>
            </w:pPr>
            <w:r>
              <w:t xml:space="preserve">≥10个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部门重点评价数量</w:t>
            </w:r>
          </w:p>
        </w:tc>
        <w:tc>
          <w:tcPr>
            <w:tcW w:w="3430" w:type="dxa"/>
            <w:hMerge w:val="restart"/>
            <w:vAlign w:val="center"/>
          </w:tcPr>
          <w:p>
            <w:pPr>
              <w:pStyle w:val="单元格样式2"/>
            </w:pPr>
            <w:r>
              <w:t xml:space="preserve">部门重点评价数量</w:t>
            </w:r>
          </w:p>
        </w:tc>
        <w:tc>
          <w:tcPr>
            <w:tcW w:w="0" w:type="auto"/>
            <w:hMerge/>
            <w:vAlign w:val="center"/>
          </w:tcPr>
          <w:p>
            <w:pPr/>
          </w:p>
        </w:tc>
        <w:tc>
          <w:tcPr>
            <w:tcW w:w="2551" w:type="dxa"/>
            <w:hMerge w:val="restart"/>
            <w:vAlign w:val="center"/>
          </w:tcPr>
          <w:p>
            <w:pPr>
              <w:pStyle w:val="单元格样式2"/>
            </w:pPr>
            <w:r>
              <w:t xml:space="preserve">≥4个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报告验收通过率</w:t>
            </w:r>
          </w:p>
        </w:tc>
        <w:tc>
          <w:tcPr>
            <w:tcW w:w="3430" w:type="dxa"/>
            <w:hMerge w:val="restart"/>
            <w:vAlign w:val="center"/>
          </w:tcPr>
          <w:p>
            <w:pPr>
              <w:pStyle w:val="单元格样式2"/>
            </w:pPr>
            <w:r>
              <w:t xml:space="preserve">报告验收通过情况</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绩效管理服务完成时间</w:t>
            </w:r>
          </w:p>
        </w:tc>
        <w:tc>
          <w:tcPr>
            <w:tcW w:w="3430" w:type="dxa"/>
            <w:hMerge w:val="restart"/>
            <w:vAlign w:val="center"/>
          </w:tcPr>
          <w:p>
            <w:pPr>
              <w:pStyle w:val="单元格样式2"/>
            </w:pPr>
            <w:r>
              <w:t xml:space="preserve">绩效管理服务完成时间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事前绩效评估费用</w:t>
            </w:r>
          </w:p>
        </w:tc>
        <w:tc>
          <w:tcPr>
            <w:tcW w:w="3430" w:type="dxa"/>
            <w:hMerge w:val="restart"/>
            <w:vAlign w:val="center"/>
          </w:tcPr>
          <w:p>
            <w:pPr>
              <w:pStyle w:val="单元格样式2"/>
            </w:pPr>
            <w:r>
              <w:t xml:space="preserve">事前绩效评估费用</w:t>
            </w:r>
          </w:p>
        </w:tc>
        <w:tc>
          <w:tcPr>
            <w:tcW w:w="0" w:type="auto"/>
            <w:hMerge/>
            <w:vAlign w:val="center"/>
          </w:tcPr>
          <w:p>
            <w:pPr/>
          </w:p>
        </w:tc>
        <w:tc>
          <w:tcPr>
            <w:tcW w:w="2551" w:type="dxa"/>
            <w:hMerge w:val="restart"/>
            <w:vAlign w:val="center"/>
          </w:tcPr>
          <w:p>
            <w:pPr>
              <w:pStyle w:val="单元格样式2"/>
            </w:pPr>
            <w:r>
              <w:t xml:space="preserve">≤60万元</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重点项目监控费用</w:t>
            </w:r>
          </w:p>
        </w:tc>
        <w:tc>
          <w:tcPr>
            <w:tcW w:w="3430" w:type="dxa"/>
            <w:hMerge w:val="restart"/>
            <w:vAlign w:val="center"/>
          </w:tcPr>
          <w:p>
            <w:pPr>
              <w:pStyle w:val="单元格样式2"/>
            </w:pPr>
            <w:r>
              <w:t xml:space="preserve">重点项目监控费用</w:t>
            </w:r>
          </w:p>
        </w:tc>
        <w:tc>
          <w:tcPr>
            <w:tcW w:w="0" w:type="auto"/>
            <w:hMerge/>
            <w:vAlign w:val="center"/>
          </w:tcPr>
          <w:p>
            <w:pPr/>
          </w:p>
        </w:tc>
        <w:tc>
          <w:tcPr>
            <w:tcW w:w="2551" w:type="dxa"/>
            <w:hMerge w:val="restart"/>
            <w:vAlign w:val="center"/>
          </w:tcPr>
          <w:p>
            <w:pPr>
              <w:pStyle w:val="单元格样式2"/>
            </w:pPr>
            <w:r>
              <w:t xml:space="preserve">≤48万元</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重点项目评价费用</w:t>
            </w:r>
          </w:p>
        </w:tc>
        <w:tc>
          <w:tcPr>
            <w:tcW w:w="3430" w:type="dxa"/>
            <w:hMerge w:val="restart"/>
            <w:vAlign w:val="center"/>
          </w:tcPr>
          <w:p>
            <w:pPr>
              <w:pStyle w:val="单元格样式2"/>
            </w:pPr>
            <w:r>
              <w:t xml:space="preserve">重点项目评价费用</w:t>
            </w:r>
          </w:p>
        </w:tc>
        <w:tc>
          <w:tcPr>
            <w:tcW w:w="0" w:type="auto"/>
            <w:hMerge/>
            <w:vAlign w:val="center"/>
          </w:tcPr>
          <w:p>
            <w:pPr/>
          </w:p>
        </w:tc>
        <w:tc>
          <w:tcPr>
            <w:tcW w:w="2551" w:type="dxa"/>
            <w:hMerge w:val="restart"/>
            <w:vAlign w:val="center"/>
          </w:tcPr>
          <w:p>
            <w:pPr>
              <w:pStyle w:val="单元格样式2"/>
            </w:pPr>
            <w:r>
              <w:t xml:space="preserve">≤75万元</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部门重点评价费用</w:t>
            </w:r>
          </w:p>
        </w:tc>
        <w:tc>
          <w:tcPr>
            <w:tcW w:w="3430" w:type="dxa"/>
            <w:hMerge w:val="restart"/>
            <w:vAlign w:val="center"/>
          </w:tcPr>
          <w:p>
            <w:pPr>
              <w:pStyle w:val="单元格样式2"/>
            </w:pPr>
            <w:r>
              <w:t xml:space="preserve">部门重点评价费用</w:t>
            </w:r>
          </w:p>
        </w:tc>
        <w:tc>
          <w:tcPr>
            <w:tcW w:w="0" w:type="auto"/>
            <w:hMerge/>
            <w:vAlign w:val="center"/>
          </w:tcPr>
          <w:p>
            <w:pPr/>
          </w:p>
        </w:tc>
        <w:tc>
          <w:tcPr>
            <w:tcW w:w="2551" w:type="dxa"/>
            <w:hMerge w:val="restart"/>
            <w:vAlign w:val="center"/>
          </w:tcPr>
          <w:p>
            <w:pPr>
              <w:pStyle w:val="单元格样式2"/>
            </w:pPr>
            <w:r>
              <w:t xml:space="preserve">≤32万元</w:t>
            </w:r>
          </w:p>
        </w:tc>
        <w:tc>
          <w:tcPr>
            <w:tcW w:w="0" w:type="auto"/>
            <w:hMerge/>
          </w:tcPr>
          <w:p>
            <w:pPr>
              <w:pStyle w:val="单元格样式2"/>
            </w:pPr>
            <w:r>
              <w:t xml:space="preserve">按照实际情况确定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建立健全全面绩效管理制度</w:t>
            </w:r>
          </w:p>
        </w:tc>
        <w:tc>
          <w:tcPr>
            <w:tcW w:w="3430" w:type="dxa"/>
            <w:hMerge w:val="restart"/>
            <w:vAlign w:val="center"/>
          </w:tcPr>
          <w:p>
            <w:pPr>
              <w:pStyle w:val="单元格样式2"/>
            </w:pPr>
            <w:r>
              <w:t xml:space="preserve">建立健全全面绩效管理制度</w:t>
            </w:r>
          </w:p>
        </w:tc>
        <w:tc>
          <w:tcPr>
            <w:tcW w:w="0" w:type="auto"/>
            <w:hMerge/>
            <w:vAlign w:val="center"/>
          </w:tcPr>
          <w:p>
            <w:pPr/>
          </w:p>
        </w:tc>
        <w:tc>
          <w:tcPr>
            <w:tcW w:w="2551" w:type="dxa"/>
            <w:hMerge w:val="restart"/>
            <w:vAlign w:val="center"/>
          </w:tcPr>
          <w:p>
            <w:pPr>
              <w:pStyle w:val="单元格样式2"/>
            </w:pPr>
            <w:r>
              <w:t xml:space="preserve">长效保障</w:t>
            </w:r>
          </w:p>
        </w:tc>
        <w:tc>
          <w:tcPr>
            <w:tcW w:w="0" w:type="auto"/>
            <w:hMerge/>
          </w:tcPr>
          <w:p>
            <w:pPr>
              <w:pStyle w:val="单元格样式2"/>
            </w:pPr>
            <w:r>
              <w:t xml:space="preserve">按照实际情况确定</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财政绩效管理人员满意度</w:t>
            </w:r>
          </w:p>
        </w:tc>
        <w:tc>
          <w:tcPr>
            <w:tcW w:w="3430" w:type="dxa"/>
            <w:hMerge w:val="restart"/>
            <w:vAlign w:val="center"/>
          </w:tcPr>
          <w:p>
            <w:pPr>
              <w:pStyle w:val="单元格样式2"/>
            </w:pPr>
            <w:r>
              <w:t xml:space="preserve">财政绩效管理人员满意度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按照实际情况确定</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3" w:name="_Toc_4_4_0000000014"/>
      <w:r>
        <w:rPr>
          <w:rFonts w:ascii="方正仿宋_GBK" w:eastAsia="方正仿宋_GBK" w:hAnsi="方正仿宋_GBK" w:cs="方正仿宋_GBK"/>
          <w:sz w:val="28"/>
        </w:rPr>
        <w:t xml:space="preserve">11.2026年政府投资项目评审工作专项经费绩效目标表</w:t>
      </w:r>
      <w:bookmarkEnd w:id="1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351201天津市滨海新区财政综合服务中心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2026年政府投资项目评审工作专项经费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本项目用于支付2023年第四季度评审费。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1.对区级财政性资金投资项目的预算、结算、竣工财务决算等进行审查；对相关财政专项资金使用情况进行专项检查，并提出评审意见；节省财政资金，合理降低项目建设成本。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评审报告完成数量</w:t>
            </w:r>
          </w:p>
        </w:tc>
        <w:tc>
          <w:tcPr>
            <w:tcW w:w="3430" w:type="dxa"/>
            <w:hMerge w:val="restart"/>
            <w:vAlign w:val="center"/>
          </w:tcPr>
          <w:p>
            <w:pPr>
              <w:pStyle w:val="单元格样式2"/>
            </w:pPr>
            <w:r>
              <w:t xml:space="preserve">评审报告完成数量</w:t>
            </w:r>
          </w:p>
        </w:tc>
        <w:tc>
          <w:tcPr>
            <w:tcW w:w="0" w:type="auto"/>
            <w:hMerge/>
            <w:vAlign w:val="center"/>
          </w:tcPr>
          <w:p>
            <w:pPr/>
          </w:p>
        </w:tc>
        <w:tc>
          <w:tcPr>
            <w:tcW w:w="2551" w:type="dxa"/>
            <w:hMerge w:val="restart"/>
            <w:vAlign w:val="center"/>
          </w:tcPr>
          <w:p>
            <w:pPr>
              <w:pStyle w:val="单元格样式2"/>
            </w:pPr>
            <w:r>
              <w:t xml:space="preserve">≥130个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接受处室委托数量</w:t>
            </w:r>
          </w:p>
        </w:tc>
        <w:tc>
          <w:tcPr>
            <w:tcW w:w="3430" w:type="dxa"/>
            <w:hMerge w:val="restart"/>
            <w:vAlign w:val="center"/>
          </w:tcPr>
          <w:p>
            <w:pPr>
              <w:pStyle w:val="单元格样式2"/>
            </w:pPr>
            <w:r>
              <w:t xml:space="preserve">接受处室委托数量</w:t>
            </w:r>
          </w:p>
        </w:tc>
        <w:tc>
          <w:tcPr>
            <w:tcW w:w="0" w:type="auto"/>
            <w:hMerge/>
            <w:vAlign w:val="center"/>
          </w:tcPr>
          <w:p>
            <w:pPr/>
          </w:p>
        </w:tc>
        <w:tc>
          <w:tcPr>
            <w:tcW w:w="2551" w:type="dxa"/>
            <w:hMerge w:val="restart"/>
            <w:vAlign w:val="center"/>
          </w:tcPr>
          <w:p>
            <w:pPr>
              <w:pStyle w:val="单元格样式2"/>
            </w:pPr>
            <w:r>
              <w:t xml:space="preserve">≥130个</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问题反馈时限</w:t>
            </w:r>
          </w:p>
        </w:tc>
        <w:tc>
          <w:tcPr>
            <w:tcW w:w="3430" w:type="dxa"/>
            <w:hMerge w:val="restart"/>
            <w:vAlign w:val="center"/>
          </w:tcPr>
          <w:p>
            <w:pPr>
              <w:pStyle w:val="单元格样式2"/>
            </w:pPr>
            <w:r>
              <w:t xml:space="preserve">问题反馈时限</w:t>
            </w:r>
          </w:p>
        </w:tc>
        <w:tc>
          <w:tcPr>
            <w:tcW w:w="0" w:type="auto"/>
            <w:hMerge/>
            <w:vAlign w:val="center"/>
          </w:tcPr>
          <w:p>
            <w:pPr/>
          </w:p>
        </w:tc>
        <w:tc>
          <w:tcPr>
            <w:tcW w:w="2551" w:type="dxa"/>
            <w:hMerge w:val="restart"/>
            <w:vAlign w:val="center"/>
          </w:tcPr>
          <w:p>
            <w:pPr>
              <w:pStyle w:val="单元格样式2"/>
            </w:pPr>
            <w:r>
              <w:t xml:space="preserve">≤5个工作日</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受托机构评审报告完成时间</w:t>
            </w:r>
          </w:p>
        </w:tc>
        <w:tc>
          <w:tcPr>
            <w:tcW w:w="3430" w:type="dxa"/>
            <w:hMerge w:val="restart"/>
            <w:vAlign w:val="center"/>
          </w:tcPr>
          <w:p>
            <w:pPr>
              <w:pStyle w:val="单元格样式2"/>
            </w:pPr>
            <w:r>
              <w:t xml:space="preserve">受托机构评审报告完成时间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评审工作专项经费</w:t>
            </w:r>
          </w:p>
        </w:tc>
        <w:tc>
          <w:tcPr>
            <w:tcW w:w="3430" w:type="dxa"/>
            <w:hMerge w:val="restart"/>
            <w:vAlign w:val="center"/>
          </w:tcPr>
          <w:p>
            <w:pPr>
              <w:pStyle w:val="单元格样式2"/>
            </w:pPr>
            <w:r>
              <w:t xml:space="preserve">评审工作专项经费</w:t>
            </w:r>
          </w:p>
        </w:tc>
        <w:tc>
          <w:tcPr>
            <w:tcW w:w="0" w:type="auto"/>
            <w:hMerge/>
            <w:vAlign w:val="center"/>
          </w:tcPr>
          <w:p>
            <w:pPr/>
          </w:p>
        </w:tc>
        <w:tc>
          <w:tcPr>
            <w:tcW w:w="2551" w:type="dxa"/>
            <w:hMerge w:val="restart"/>
            <w:vAlign w:val="center"/>
          </w:tcPr>
          <w:p>
            <w:pPr>
              <w:pStyle w:val="单元格样式2"/>
            </w:pPr>
            <w:r>
              <w:t xml:space="preserve">≤300万元</w:t>
            </w:r>
          </w:p>
        </w:tc>
        <w:tc>
          <w:tcPr>
            <w:tcW w:w="0" w:type="auto"/>
            <w:hMerge/>
          </w:tcPr>
          <w:p>
            <w:pPr>
              <w:pStyle w:val="单元格样式2"/>
            </w:pPr>
            <w:r>
              <w:t xml:space="preserve">按照实际情况确定</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出具评审报告合格率</w:t>
            </w:r>
          </w:p>
        </w:tc>
        <w:tc>
          <w:tcPr>
            <w:tcW w:w="3430" w:type="dxa"/>
            <w:hMerge w:val="restart"/>
            <w:vAlign w:val="center"/>
          </w:tcPr>
          <w:p>
            <w:pPr>
              <w:pStyle w:val="单元格样式2"/>
            </w:pPr>
            <w:r>
              <w:t xml:space="preserve">出具评审报告合格率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按照实际情况确定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节省财政资金</w:t>
            </w:r>
          </w:p>
        </w:tc>
        <w:tc>
          <w:tcPr>
            <w:tcW w:w="3430" w:type="dxa"/>
            <w:hMerge w:val="restart"/>
            <w:vAlign w:val="center"/>
          </w:tcPr>
          <w:p>
            <w:pPr>
              <w:pStyle w:val="单元格样式2"/>
            </w:pPr>
            <w:r>
              <w:t xml:space="preserve">项目（不包括决算审核）建设资金节约率</w:t>
            </w:r>
          </w:p>
        </w:tc>
        <w:tc>
          <w:tcPr>
            <w:tcW w:w="0" w:type="auto"/>
            <w:hMerge/>
            <w:vAlign w:val="center"/>
          </w:tcPr>
          <w:p>
            <w:pPr/>
          </w:p>
        </w:tc>
        <w:tc>
          <w:tcPr>
            <w:tcW w:w="2551" w:type="dxa"/>
            <w:hMerge w:val="restart"/>
            <w:vAlign w:val="center"/>
          </w:tcPr>
          <w:p>
            <w:pPr>
              <w:pStyle w:val="单元格样式2"/>
            </w:pPr>
            <w:r>
              <w:t xml:space="preserve">≥15%</w:t>
            </w:r>
          </w:p>
        </w:tc>
        <w:tc>
          <w:tcPr>
            <w:tcW w:w="0" w:type="auto"/>
            <w:hMerge/>
          </w:tcPr>
          <w:p>
            <w:pPr>
              <w:pStyle w:val="单元格样式2"/>
            </w:pPr>
            <w:r>
              <w:t xml:space="preserve">按照实际情况确定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合理降低项目建设成本</w:t>
            </w:r>
          </w:p>
        </w:tc>
        <w:tc>
          <w:tcPr>
            <w:tcW w:w="3430" w:type="dxa"/>
            <w:hMerge w:val="restart"/>
            <w:vAlign w:val="center"/>
          </w:tcPr>
          <w:p>
            <w:pPr>
              <w:pStyle w:val="单元格样式2"/>
            </w:pPr>
            <w:r>
              <w:t xml:space="preserve">项目（不包括决算审核）建设资金审减率</w:t>
            </w:r>
          </w:p>
        </w:tc>
        <w:tc>
          <w:tcPr>
            <w:tcW w:w="0" w:type="auto"/>
            <w:hMerge/>
            <w:vAlign w:val="center"/>
          </w:tcPr>
          <w:p>
            <w:pPr/>
          </w:p>
        </w:tc>
        <w:tc>
          <w:tcPr>
            <w:tcW w:w="2551" w:type="dxa"/>
            <w:hMerge w:val="restart"/>
            <w:vAlign w:val="center"/>
          </w:tcPr>
          <w:p>
            <w:pPr>
              <w:pStyle w:val="单元格样式2"/>
            </w:pPr>
            <w:r>
              <w:t xml:space="preserve">有效降低</w:t>
            </w:r>
          </w:p>
        </w:tc>
        <w:tc>
          <w:tcPr>
            <w:tcW w:w="0" w:type="auto"/>
            <w:hMerge/>
          </w:tcPr>
          <w:p>
            <w:pPr>
              <w:pStyle w:val="单元格样式2"/>
            </w:pPr>
            <w:r>
              <w:t xml:space="preserve">按照实际情况确定</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业务委托处室满意度</w:t>
            </w:r>
          </w:p>
        </w:tc>
        <w:tc>
          <w:tcPr>
            <w:tcW w:w="3430" w:type="dxa"/>
            <w:hMerge w:val="restart"/>
            <w:vAlign w:val="center"/>
          </w:tcPr>
          <w:p>
            <w:pPr>
              <w:pStyle w:val="单元格样式2"/>
            </w:pPr>
            <w:r>
              <w:t xml:space="preserve">业务委托处室满意度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按照实际情况确定</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4" w:name="_Toc_4_4_0000000015"/>
      <w:r>
        <w:rPr>
          <w:rFonts w:ascii="方正仿宋_GBK" w:eastAsia="方正仿宋_GBK" w:hAnsi="方正仿宋_GBK" w:cs="方正仿宋_GBK"/>
          <w:sz w:val="28"/>
        </w:rPr>
        <w:t xml:space="preserve">12.2026年编制外长聘人员经费项目（机关事业单位辅助人员）绩效目标表</w:t>
      </w:r>
      <w:bookmarkEnd w:id="1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351202天津市滨海新区股权投资稳定促进中心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2026年编制外长聘人员经费项目（机关事业单位辅助人员）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411500.00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411500.00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≥5人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≤8.23万元/人/年</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5" w:name="_Toc_4_4_0000000016"/>
      <w:r>
        <w:rPr>
          <w:rFonts w:ascii="方正仿宋_GBK" w:eastAsia="方正仿宋_GBK" w:hAnsi="方正仿宋_GBK" w:cs="方正仿宋_GBK"/>
          <w:sz w:val="28"/>
        </w:rPr>
        <w:t xml:space="preserve">13.2026年防范金融风险专项经费绩效目标表</w:t>
      </w:r>
      <w:bookmarkEnd w:id="1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351202天津市滨海新区股权投资稳定促进中心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2026年防范金融风险专项经费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加强监测预警，积极稳妥化解风险隐患，承担防范金融风险相关法律法规的辅助宣传工作，提高私募股权机构投融资服务和风险监测能力。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1.加强监测预警，积极稳妥化解风险隐患，承担防范金融风险相关法律法规的辅助宣传工作，提高私募股权机构投融资服务和风险监测能力。</w:t>
            </w:r>
            <w:r>
              <w:tab/>
            </w:r>
            <w:r>
              <w:tab/>
            </w:r>
            <w:r>
              <w:tab/>
            </w:r>
            <w:r>
              <w:tab/>
            </w:r>
            <w:r>
              <w:tab/>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防范金融风险宣传活动数量</w:t>
            </w:r>
          </w:p>
        </w:tc>
        <w:tc>
          <w:tcPr>
            <w:tcW w:w="3430" w:type="dxa"/>
            <w:hMerge w:val="restart"/>
            <w:vAlign w:val="center"/>
          </w:tcPr>
          <w:p>
            <w:pPr>
              <w:pStyle w:val="单元格样式2"/>
            </w:pPr>
            <w:r>
              <w:t xml:space="preserve">防范金融风险宣传活动数量</w:t>
            </w:r>
          </w:p>
        </w:tc>
        <w:tc>
          <w:tcPr>
            <w:tcW w:w="0" w:type="auto"/>
            <w:hMerge/>
            <w:vAlign w:val="center"/>
          </w:tcPr>
          <w:p>
            <w:pPr/>
          </w:p>
        </w:tc>
        <w:tc>
          <w:tcPr>
            <w:tcW w:w="2551" w:type="dxa"/>
            <w:hMerge w:val="restart"/>
            <w:vAlign w:val="center"/>
          </w:tcPr>
          <w:p>
            <w:pPr>
              <w:pStyle w:val="单元格样式2"/>
            </w:pPr>
            <w:r>
              <w:t xml:space="preserve">≥8场</w:t>
            </w:r>
          </w:p>
        </w:tc>
        <w:tc>
          <w:tcPr>
            <w:tcW w:w="0" w:type="auto"/>
            <w:hMerge/>
          </w:tcPr>
          <w:p>
            <w:pPr>
              <w:pStyle w:val="单元格样式2"/>
            </w:pPr>
            <w:r>
              <w:t xml:space="preserve">《防范和处置非法集资条例》</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防范金融风险宣传活动开展时间</w:t>
            </w:r>
          </w:p>
        </w:tc>
        <w:tc>
          <w:tcPr>
            <w:tcW w:w="3430" w:type="dxa"/>
            <w:hMerge w:val="restart"/>
            <w:vAlign w:val="center"/>
          </w:tcPr>
          <w:p>
            <w:pPr>
              <w:pStyle w:val="单元格样式2"/>
            </w:pPr>
            <w:r>
              <w:t xml:space="preserve">防范金融风险宣传活动开展时间</w:t>
            </w:r>
          </w:p>
        </w:tc>
        <w:tc>
          <w:tcPr>
            <w:tcW w:w="0" w:type="auto"/>
            <w:hMerge/>
            <w:vAlign w:val="center"/>
          </w:tcPr>
          <w:p>
            <w:pPr/>
          </w:p>
        </w:tc>
        <w:tc>
          <w:tcPr>
            <w:tcW w:w="2551" w:type="dxa"/>
            <w:hMerge w:val="restart"/>
            <w:vAlign w:val="center"/>
          </w:tcPr>
          <w:p>
            <w:pPr>
              <w:pStyle w:val="单元格样式2"/>
            </w:pPr>
            <w:r>
              <w:t xml:space="preserve">12月</w:t>
            </w:r>
          </w:p>
        </w:tc>
        <w:tc>
          <w:tcPr>
            <w:tcW w:w="0" w:type="auto"/>
            <w:hMerge/>
          </w:tcPr>
          <w:p>
            <w:pPr>
              <w:pStyle w:val="单元格样式2"/>
            </w:pPr>
            <w:r>
              <w:t xml:space="preserve">《防范和处置非法集资条例》</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防范金融宣传活动顺利开展率</w:t>
            </w:r>
          </w:p>
        </w:tc>
        <w:tc>
          <w:tcPr>
            <w:tcW w:w="3430" w:type="dxa"/>
            <w:hMerge w:val="restart"/>
            <w:vAlign w:val="center"/>
          </w:tcPr>
          <w:p>
            <w:pPr>
              <w:pStyle w:val="单元格样式2"/>
            </w:pPr>
            <w:r>
              <w:t xml:space="preserve">防范金融宣传活动顺利开展率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《防范和处置非法集资条例》</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防范金融风险宣传工作成本标准</w:t>
            </w:r>
          </w:p>
        </w:tc>
        <w:tc>
          <w:tcPr>
            <w:tcW w:w="3430" w:type="dxa"/>
            <w:hMerge w:val="restart"/>
            <w:vAlign w:val="center"/>
          </w:tcPr>
          <w:p>
            <w:pPr>
              <w:pStyle w:val="单元格样式2"/>
            </w:pPr>
            <w:r>
              <w:t xml:space="preserve">防范金融风险宣传工作成本标准</w:t>
            </w:r>
          </w:p>
        </w:tc>
        <w:tc>
          <w:tcPr>
            <w:tcW w:w="0" w:type="auto"/>
            <w:hMerge/>
            <w:vAlign w:val="center"/>
          </w:tcPr>
          <w:p>
            <w:pPr/>
          </w:p>
        </w:tc>
        <w:tc>
          <w:tcPr>
            <w:tcW w:w="2551" w:type="dxa"/>
            <w:hMerge w:val="restart"/>
            <w:vAlign w:val="center"/>
          </w:tcPr>
          <w:p>
            <w:pPr>
              <w:pStyle w:val="单元格样式2"/>
            </w:pPr>
            <w:r>
              <w:t xml:space="preserve">≤1250元/场</w:t>
            </w:r>
          </w:p>
        </w:tc>
        <w:tc>
          <w:tcPr>
            <w:tcW w:w="0" w:type="auto"/>
            <w:hMerge/>
          </w:tcPr>
          <w:p>
            <w:pPr>
              <w:pStyle w:val="单元格样式2"/>
            </w:pPr>
            <w:r>
              <w:t xml:space="preserve">《防范和处置非法集资条例》</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提高群众防范金融风险意识</w:t>
            </w:r>
          </w:p>
        </w:tc>
        <w:tc>
          <w:tcPr>
            <w:tcW w:w="3430" w:type="dxa"/>
            <w:hMerge w:val="restart"/>
            <w:vAlign w:val="center"/>
          </w:tcPr>
          <w:p>
            <w:pPr>
              <w:pStyle w:val="单元格样式2"/>
            </w:pPr>
            <w:r>
              <w:t xml:space="preserve">提高群众防范金融风险意识</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r>
              <w:t xml:space="preserve">《防范和处置非法集资条例》</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宣传对象满意度</w:t>
            </w:r>
          </w:p>
        </w:tc>
        <w:tc>
          <w:tcPr>
            <w:tcW w:w="3430" w:type="dxa"/>
            <w:hMerge w:val="restart"/>
            <w:vAlign w:val="center"/>
          </w:tcPr>
          <w:p>
            <w:pPr>
              <w:pStyle w:val="单元格样式2"/>
            </w:pPr>
            <w:r>
              <w:t xml:space="preserve">宣传对象满意度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《防范和处置非法集资条例》</w:t>
            </w:r>
          </w:p>
        </w:tc>
      </w:tr>
    </w:tbl>
    <w:p>
      <w:pPr/>
    </w:p>
    <w:sectPr>
      <w:type w:val="nextPage"/>
      <w:pgSz w:w="11900" w:h="16840" w:orient="portrait"/>
      <w:pgMar w:top="1984" w:right="1304" w:bottom="1134" w:left="130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left"/>
    </w:pPr>
    <w:r>
      <w:fldChar w:fldCharType="begin"/>
    </w:r>
    <w:r>
      <w:instrText xml:space="preserve">PAGE "page number"</w:instrText>
    </w:r>
    <w:r>
      <w:fldChar w:fldCharType="separate"/>
    </w:r>
    <w:r>
      <w:t xml:space="preserve">page number</w:t>
    </w:r>
    <w:r>
      <w:fldChar w:fldCharType="end"/>
    </w: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right"/>
    </w:pPr>
    <w:r>
      <w:fldChar w:fldCharType="begin"/>
    </w:r>
    <w:r>
      <w:instrText xml:space="preserve">PAGE "page number"</w:instrText>
    </w:r>
    <w:r>
      <w:fldChar w:fldCharType="separate"/>
    </w:r>
    <w:r>
      <w:t xml:space="preserve">page number</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xmlns:w15="http://schemas.microsoft.com/office/word/2012/wordml" mc:Ignorable="w14 w15">
  <w:zoom w:percent="100"/>
  <w:bordersDoNotSurroundFooter w:val="0"/>
  <w:bordersDoNotSurroundHeader w:val="0"/>
  <w:doNotTrackMoves/>
  <w:defaultTabStop w:val="720"/>
  <w:evenAndOddHeaders/>
  <w:characterSpacingControl w:val="doNotCompress"/>
  <w:compat>
    <w:doNotLeaveBackslashAlone/>
    <w:doNotExpandShiftReturn/>
    <w:adjustLineHeightInTable/>
    <w:useFELayou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插入文本样式-插入总体目标文件">
    <w:name w:val="插入文本样式-插入总体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职责分类绩效目标文件">
    <w:name w:val="插入文本样式-插入职责分类绩效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实现年度发展规划目标的保障措施文件">
    <w:name w:val="插入文本样式-插入实现年度发展规划目标的保障措施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table" w:default="1" w:styleId="TableNormal">
    <w:name w:val="Normal Table"/>
    <w:uiPriority w:val="99"/>
    <w:semiHidden/>
    <w:unhideWhenUsed/>
    <w:qFormat/>
    <w:rPr/>
    <w:tblPr>
      <w:tblInd w:w="0" w:type="dxa"/>
      <w:tblCellMar>
        <w:top w:w="0" w:type="dxa"/>
        <w:left w:w="108" w:type="dxa"/>
        <w:bottom w:w="0" w:type="dxa"/>
        <w:right w:w="108" w:type="dxa"/>
      </w:tblCellMar>
    </w:tblPr>
  </w:style>
  <w:style w:type="table" w:styleId="TableGrid">
    <w:name w:val="Table Grid"/>
    <w:basedOn w:val="TableNorm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单元格样式4">
    <w:name w:val="单元格样式4"/>
    <w:basedOn w:val="Normal"/>
    <w:qFormat/>
    <w:pPr>
      <w:spacing w:before="0" w:after="0"/>
      <w:ind w:firstLine="0"/>
      <w:jc w:val="right"/>
      <w:outlineLvl w:val="9"/>
    </w:pPr>
    <w:rPr>
      <w:rFonts w:ascii="方正书宋_GBK" w:eastAsia="方正书宋_GBK" w:hAnsi="方正书宋_GBK" w:cs="方正书宋_GBK"/>
      <w:sz w:val="21"/>
    </w:rPr>
  </w:style>
  <w:style w:type="paragraph" w:styleId="单元格样式5">
    <w:name w:val="单元格样式5"/>
    <w:basedOn w:val="Normal"/>
    <w:qFormat/>
    <w:pPr>
      <w:spacing w:before="0" w:after="0"/>
      <w:ind w:firstLine="0"/>
      <w:jc w:val="left"/>
      <w:outlineLvl w:val="9"/>
    </w:pPr>
    <w:rPr>
      <w:rFonts w:ascii="方正书宋_GBK" w:eastAsia="方正书宋_GBK" w:hAnsi="方正书宋_GBK" w:cs="方正书宋_GBK"/>
      <w:b/>
      <w:sz w:val="21"/>
    </w:rPr>
  </w:style>
  <w:style w:type="paragraph" w:styleId="单元格样式2">
    <w:name w:val="单元格样式2"/>
    <w:basedOn w:val="Normal"/>
    <w:qFormat/>
    <w:pPr>
      <w:spacing w:before="0" w:after="0"/>
      <w:ind w:firstLine="0"/>
      <w:jc w:val="left"/>
      <w:outlineLvl w:val="9"/>
    </w:pPr>
    <w:rPr>
      <w:rFonts w:ascii="方正书宋_GBK" w:eastAsia="方正书宋_GBK" w:hAnsi="方正书宋_GBK" w:cs="方正书宋_GBK"/>
      <w:sz w:val="21"/>
    </w:rPr>
  </w:style>
  <w:style w:type="paragraph" w:styleId="单元格样式1">
    <w:name w:val="单元格样式1"/>
    <w:basedOn w:val="Normal"/>
    <w:qFormat/>
    <w:pPr>
      <w:spacing w:before="0" w:after="0"/>
      <w:ind w:firstLine="0"/>
      <w:jc w:val="center"/>
      <w:outlineLvl w:val="9"/>
    </w:pPr>
    <w:rPr>
      <w:rFonts w:ascii="方正书宋_GBK" w:eastAsia="方正书宋_GBK" w:hAnsi="方正书宋_GBK" w:cs="方正书宋_GBK"/>
      <w:b/>
      <w:sz w:val="21"/>
    </w:rPr>
  </w:style>
  <w:style w:type="paragraph" w:styleId="单元格样式3">
    <w:name w:val="单元格样式3"/>
    <w:basedOn w:val="Normal"/>
    <w:qFormat/>
    <w:pPr>
      <w:spacing w:before="0" w:after="0"/>
      <w:ind w:firstLine="0"/>
      <w:jc w:val="center"/>
      <w:outlineLvl w:val="9"/>
    </w:pPr>
    <w:rPr>
      <w:rFonts w:ascii="方正书宋_GBK" w:eastAsia="方正书宋_GBK" w:hAnsi="方正书宋_GBK" w:cs="方正书宋_GBK"/>
      <w:sz w:val="21"/>
    </w:rPr>
  </w:style>
  <w:style w:type="paragraph" w:styleId="TOC2">
    <w:name w:val="TOC 2"/>
    <w:basedOn w:val="Normal"/>
    <w:qFormat/>
    <w:pPr>
      <w:ind w:left="240"/>
    </w:pPr>
    <w:rPr/>
  </w:style>
  <w:style w:type="paragraph" w:styleId="TOC4">
    <w:name w:val="TOC 4"/>
    <w:basedOn w:val="Normal"/>
    <w:qFormat/>
    <w:pPr>
      <w:ind w:left="720"/>
    </w:pPr>
    <w:rPr/>
  </w:style>
  <w:style w:type="paragraph" w:styleId="TOC1">
    <w:name w:val="TOC 1"/>
    <w:basedOn w:val="Normal"/>
    <w:qFormat/>
    <w:pPr>
      <w:spacing w:before="120" w:line="240"/>
      <w:ind w:firstLine="0"/>
    </w:pPr>
    <w:rPr>
      <w:rFonts w:ascii="Times New Roman" w:eastAsia="方正仿宋_GBK" w:hAnsi="Times New Roman" w:cs="Times New Roman"/>
      <w:b w:val="0"/>
      <w:color w:val="000000"/>
      <w:sz w:val="28"/>
      <w:lang w:val="en-US"/>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theme" Target="theme/theme1.xml" /><Relationship Id="rId34" Type="http://schemas.openxmlformats.org/officeDocument/2006/relationships/styles" Target="styles.xml" /><Relationship Id="rId35" Type="http://schemas.openxmlformats.org/officeDocument/2006/relationships/webSettings" Target="webSettings.xml" /><Relationship Id="rId36" Type="http://schemas.openxmlformats.org/officeDocument/2006/relationships/numbering" Target="numbering.xml" /><Relationship Id="rId37" Type="http://schemas.openxmlformats.org/officeDocument/2006/relationships/settings" Target="settings.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10.xml.rels>&#65279;<?xml version="1.0" encoding="utf-8"?><Relationships xmlns="http://schemas.openxmlformats.org/package/2006/relationships"><Relationship Id="rId1" Type="http://schemas.openxmlformats.org/officeDocument/2006/relationships/customXmlProps" Target="itemProps10.xml" /></Relationships>
</file>

<file path=customXml/_rels/item11.xml.rels>&#65279;<?xml version="1.0" encoding="utf-8"?><Relationships xmlns="http://schemas.openxmlformats.org/package/2006/relationships"><Relationship Id="rId1" Type="http://schemas.openxmlformats.org/officeDocument/2006/relationships/customXmlProps" Target="itemProps11.xml" /></Relationships>
</file>

<file path=customXml/_rels/item12.xml.rels>&#65279;<?xml version="1.0" encoding="utf-8"?><Relationships xmlns="http://schemas.openxmlformats.org/package/2006/relationships"><Relationship Id="rId1" Type="http://schemas.openxmlformats.org/officeDocument/2006/relationships/customXmlProps" Target="itemProps12.xml" /></Relationships>
</file>

<file path=customXml/_rels/item13.xml.rels>&#65279;<?xml version="1.0" encoding="utf-8"?><Relationships xmlns="http://schemas.openxmlformats.org/package/2006/relationships"><Relationship Id="rId1" Type="http://schemas.openxmlformats.org/officeDocument/2006/relationships/customXmlProps" Target="itemProps13.xml" /></Relationships>
</file>

<file path=customXml/_rels/item14.xml.rels>&#65279;<?xml version="1.0" encoding="utf-8"?><Relationships xmlns="http://schemas.openxmlformats.org/package/2006/relationships"><Relationship Id="rId1" Type="http://schemas.openxmlformats.org/officeDocument/2006/relationships/customXmlProps" Target="itemProps14.xml" /></Relationships>
</file>

<file path=customXml/_rels/item15.xml.rels>&#65279;<?xml version="1.0" encoding="utf-8"?><Relationships xmlns="http://schemas.openxmlformats.org/package/2006/relationships"><Relationship Id="rId1" Type="http://schemas.openxmlformats.org/officeDocument/2006/relationships/customXmlProps" Target="itemProps15.xml" /></Relationships>
</file>

<file path=customXml/_rels/item16.xml.rels>&#65279;<?xml version="1.0" encoding="utf-8"?><Relationships xmlns="http://schemas.openxmlformats.org/package/2006/relationships"><Relationship Id="rId1" Type="http://schemas.openxmlformats.org/officeDocument/2006/relationships/customXmlProps" Target="itemProps16.xml" /></Relationships>
</file>

<file path=customXml/_rels/item17.xml.rels>&#65279;<?xml version="1.0" encoding="utf-8"?><Relationships xmlns="http://schemas.openxmlformats.org/package/2006/relationships"><Relationship Id="rId1" Type="http://schemas.openxmlformats.org/officeDocument/2006/relationships/customXmlProps" Target="itemProps17.xml" /></Relationships>
</file>

<file path=customXml/_rels/item18.xml.rels>&#65279;<?xml version="1.0" encoding="utf-8"?><Relationships xmlns="http://schemas.openxmlformats.org/package/2006/relationships"><Relationship Id="rId1" Type="http://schemas.openxmlformats.org/officeDocument/2006/relationships/customXmlProps" Target="itemProps18.xml" /></Relationships>
</file>

<file path=customXml/_rels/item19.xml.rels>&#65279;<?xml version="1.0" encoding="utf-8"?><Relationships xmlns="http://schemas.openxmlformats.org/package/2006/relationships"><Relationship Id="rId1" Type="http://schemas.openxmlformats.org/officeDocument/2006/relationships/customXmlProps" Target="itemProps19.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20.xml.rels>&#65279;<?xml version="1.0" encoding="utf-8"?><Relationships xmlns="http://schemas.openxmlformats.org/package/2006/relationships"><Relationship Id="rId1" Type="http://schemas.openxmlformats.org/officeDocument/2006/relationships/customXmlProps" Target="itemProps20.xml" /></Relationships>
</file>

<file path=customXml/_rels/item21.xml.rels>&#65279;<?xml version="1.0" encoding="utf-8"?><Relationships xmlns="http://schemas.openxmlformats.org/package/2006/relationships"><Relationship Id="rId1" Type="http://schemas.openxmlformats.org/officeDocument/2006/relationships/customXmlProps" Target="itemProps21.xml" /></Relationships>
</file>

<file path=customXml/_rels/item22.xml.rels>&#65279;<?xml version="1.0" encoding="utf-8"?><Relationships xmlns="http://schemas.openxmlformats.org/package/2006/relationships"><Relationship Id="rId1" Type="http://schemas.openxmlformats.org/officeDocument/2006/relationships/customXmlProps" Target="itemProps22.xml" /></Relationships>
</file>

<file path=customXml/_rels/item23.xml.rels>&#65279;<?xml version="1.0" encoding="utf-8"?><Relationships xmlns="http://schemas.openxmlformats.org/package/2006/relationships"><Relationship Id="rId1" Type="http://schemas.openxmlformats.org/officeDocument/2006/relationships/customXmlProps" Target="itemProps23.xml" /></Relationships>
</file>

<file path=customXml/_rels/item24.xml.rels>&#65279;<?xml version="1.0" encoding="utf-8"?><Relationships xmlns="http://schemas.openxmlformats.org/package/2006/relationships"><Relationship Id="rId1" Type="http://schemas.openxmlformats.org/officeDocument/2006/relationships/customXmlProps" Target="itemProps24.xml" /></Relationships>
</file>

<file path=customXml/_rels/item25.xml.rels>&#65279;<?xml version="1.0" encoding="utf-8"?><Relationships xmlns="http://schemas.openxmlformats.org/package/2006/relationships"><Relationship Id="rId1" Type="http://schemas.openxmlformats.org/officeDocument/2006/relationships/customXmlProps" Target="itemProps25.xml" /></Relationships>
</file>

<file path=customXml/_rels/item26.xml.rels>&#65279;<?xml version="1.0" encoding="utf-8"?><Relationships xmlns="http://schemas.openxmlformats.org/package/2006/relationships"><Relationship Id="rId1" Type="http://schemas.openxmlformats.org/officeDocument/2006/relationships/customXmlProps" Target="itemProps26.xml" /></Relationships>
</file>

<file path=customXml/_rels/item27.xml.rels>&#65279;<?xml version="1.0" encoding="utf-8"?><Relationships xmlns="http://schemas.openxmlformats.org/package/2006/relationships"><Relationship Id="rId1" Type="http://schemas.openxmlformats.org/officeDocument/2006/relationships/customXmlProps" Target="itemProps27.xml" /></Relationships>
</file>

<file path=customXml/_rels/item28.xml.rels>&#65279;<?xml version="1.0" encoding="utf-8"?><Relationships xmlns="http://schemas.openxmlformats.org/package/2006/relationships"><Relationship Id="rId1" Type="http://schemas.openxmlformats.org/officeDocument/2006/relationships/customXmlProps" Target="itemProps28.xml" /></Relationships>
</file>

<file path=customXml/_rels/item29.xml.rels>&#65279;<?xml version="1.0" encoding="utf-8"?><Relationships xmlns="http://schemas.openxmlformats.org/package/2006/relationships"><Relationship Id="rId1" Type="http://schemas.openxmlformats.org/officeDocument/2006/relationships/customXmlProps" Target="itemProps29.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30.xml.rels>&#65279;<?xml version="1.0" encoding="utf-8"?><Relationships xmlns="http://schemas.openxmlformats.org/package/2006/relationships"><Relationship Id="rId1" Type="http://schemas.openxmlformats.org/officeDocument/2006/relationships/customXmlProps" Target="itemProps30.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_rels/item5.xml.rels>&#65279;<?xml version="1.0" encoding="utf-8"?><Relationships xmlns="http://schemas.openxmlformats.org/package/2006/relationships"><Relationship Id="rId1" Type="http://schemas.openxmlformats.org/officeDocument/2006/relationships/customXmlProps" Target="itemProps5.xml" /></Relationships>
</file>

<file path=customXml/_rels/item6.xml.rels>&#65279;<?xml version="1.0" encoding="utf-8"?><Relationships xmlns="http://schemas.openxmlformats.org/package/2006/relationships"><Relationship Id="rId1" Type="http://schemas.openxmlformats.org/officeDocument/2006/relationships/customXmlProps" Target="itemProps6.xml" /></Relationships>
</file>

<file path=customXml/_rels/item7.xml.rels>&#65279;<?xml version="1.0" encoding="utf-8"?><Relationships xmlns="http://schemas.openxmlformats.org/package/2006/relationships"><Relationship Id="rId1" Type="http://schemas.openxmlformats.org/officeDocument/2006/relationships/customXmlProps" Target="itemProps7.xml" /></Relationships>
</file>

<file path=customXml/_rels/item8.xml.rels>&#65279;<?xml version="1.0" encoding="utf-8"?><Relationships xmlns="http://schemas.openxmlformats.org/package/2006/relationships"><Relationship Id="rId1" Type="http://schemas.openxmlformats.org/officeDocument/2006/relationships/customXmlProps" Target="itemProps8.xml" /></Relationships>
</file>

<file path=customXml/_rels/item9.xml.rels>&#65279;<?xml version="1.0" encoding="utf-8"?><Relationships xmlns="http://schemas.openxmlformats.org/package/2006/relationships"><Relationship Id="rId1" Type="http://schemas.openxmlformats.org/officeDocument/2006/relationships/customXmlProps" Target="itemProps9.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2026-01-20T16:07:11Z</dcterms:created>
  <dcterms:modified xsi:type="dcterms:W3CDTF">2026-01-20T08:07:11Z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2026-01-20T16:07:11Z</dcterms:created>
  <dcterms:modified xsi:type="dcterms:W3CDTF">2026-01-20T08:07:11Z</dcterms:modified>
</cp:core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2026-01-20T16:07:11Z</dcterms:created>
  <dcterms:modified xsi:type="dcterms:W3CDTF">2026-01-20T08:07:11Z</dcterms:modified>
</cp:core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2026-01-20T16:07:11Z</dcterms:created>
  <dcterms:modified xsi:type="dcterms:W3CDTF">2026-01-20T08:07:11Z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2026-01-20T16:07:11Z</dcterms:created>
  <dcterms:modified xsi:type="dcterms:W3CDTF">2026-01-20T08:07:11Z</dcterms:modified>
</cp:core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2026-01-20T16:07:12Z</dcterms:created>
  <dcterms:modified xsi:type="dcterms:W3CDTF">2026-01-20T08:07:12Z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2026-01-20T16:07:12Z</dcterms:created>
  <dcterms:modified xsi:type="dcterms:W3CDTF">2026-01-20T08:07:12Z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2026-01-20T16:07:12Z</dcterms:created>
  <dcterms:modified xsi:type="dcterms:W3CDTF">2026-01-20T08:07:12Z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2026-01-20T16:07:12Z</dcterms:created>
  <dcterms:modified xsi:type="dcterms:W3CDTF">2026-01-20T08:07:12Z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2026-01-20T16:07:10Z</dcterms:created>
  <dcterms:modified xsi:type="dcterms:W3CDTF">2026-01-20T08:07:10Z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
  <ds:schemaRefs/>
</ds:datastoreItem>
</file>

<file path=customXml/itemProps11.xml><?xml version="1.0" encoding="utf-8"?>
<ds:datastoreItem xmlns:ds="http://schemas.openxmlformats.org/officeDocument/2006/customXml" ds:itemID="">
  <ds:schemaRefs/>
</ds:datastoreItem>
</file>

<file path=customXml/itemProps12.xml><?xml version="1.0" encoding="utf-8"?>
<ds:datastoreItem xmlns:ds="http://schemas.openxmlformats.org/officeDocument/2006/customXml" ds:itemID="">
  <ds:schemaRefs/>
</ds:datastoreItem>
</file>

<file path=customXml/itemProps13.xml><?xml version="1.0" encoding="utf-8"?>
<ds:datastoreItem xmlns:ds="http://schemas.openxmlformats.org/officeDocument/2006/customXml" ds:itemID="">
  <ds:schemaRefs/>
</ds:datastoreItem>
</file>

<file path=customXml/itemProps14.xml><?xml version="1.0" encoding="utf-8"?>
<ds:datastoreItem xmlns:ds="http://schemas.openxmlformats.org/officeDocument/2006/customXml" ds:itemID="">
  <ds:schemaRefs/>
</ds:datastoreItem>
</file>

<file path=customXml/itemProps15.xml><?xml version="1.0" encoding="utf-8"?>
<ds:datastoreItem xmlns:ds="http://schemas.openxmlformats.org/officeDocument/2006/customXml" ds:itemID="">
  <ds:schemaRefs/>
</ds:datastoreItem>
</file>

<file path=customXml/itemProps16.xml><?xml version="1.0" encoding="utf-8"?>
<ds:datastoreItem xmlns:ds="http://schemas.openxmlformats.org/officeDocument/2006/customXml" ds:itemID="">
  <ds:schemaRefs/>
</ds:datastoreItem>
</file>

<file path=customXml/itemProps17.xml><?xml version="1.0" encoding="utf-8"?>
<ds:datastoreItem xmlns:ds="http://schemas.openxmlformats.org/officeDocument/2006/customXml" ds:itemID="">
  <ds:schemaRefs/>
</ds:datastoreItem>
</file>

<file path=customXml/itemProps18.xml><?xml version="1.0" encoding="utf-8"?>
<ds:datastoreItem xmlns:ds="http://schemas.openxmlformats.org/officeDocument/2006/customXml" ds:itemID="">
  <ds:schemaRefs/>
</ds:datastoreItem>
</file>

<file path=customXml/itemProps19.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
  <ds:schemaRefs/>
</ds:datastoreItem>
</file>

<file path=customXml/itemProps21.xml><?xml version="1.0" encoding="utf-8"?>
<ds:datastoreItem xmlns:ds="http://schemas.openxmlformats.org/officeDocument/2006/customXml" ds:itemID="">
  <ds:schemaRefs/>
</ds:datastoreItem>
</file>

<file path=customXml/itemProps22.xml><?xml version="1.0" encoding="utf-8"?>
<ds:datastoreItem xmlns:ds="http://schemas.openxmlformats.org/officeDocument/2006/customXml" ds:itemID="">
  <ds:schemaRefs/>
</ds:datastoreItem>
</file>

<file path=customXml/itemProps23.xml><?xml version="1.0" encoding="utf-8"?>
<ds:datastoreItem xmlns:ds="http://schemas.openxmlformats.org/officeDocument/2006/customXml" ds:itemID="">
  <ds:schemaRefs/>
</ds:datastoreItem>
</file>

<file path=customXml/itemProps24.xml><?xml version="1.0" encoding="utf-8"?>
<ds:datastoreItem xmlns:ds="http://schemas.openxmlformats.org/officeDocument/2006/customXml" ds:itemID="">
  <ds:schemaRefs/>
</ds:datastoreItem>
</file>

<file path=customXml/itemProps25.xml><?xml version="1.0" encoding="utf-8"?>
<ds:datastoreItem xmlns:ds="http://schemas.openxmlformats.org/officeDocument/2006/customXml" ds:itemID="">
  <ds:schemaRefs/>
</ds:datastoreItem>
</file>

<file path=customXml/itemProps26.xml><?xml version="1.0" encoding="utf-8"?>
<ds:datastoreItem xmlns:ds="http://schemas.openxmlformats.org/officeDocument/2006/customXml" ds:itemID="">
  <ds:schemaRefs/>
</ds:datastoreItem>
</file>

<file path=customXml/itemProps27.xml><?xml version="1.0" encoding="utf-8"?>
<ds:datastoreItem xmlns:ds="http://schemas.openxmlformats.org/officeDocument/2006/customXml" ds:itemID="">
  <ds:schemaRefs/>
</ds:datastoreItem>
</file>

<file path=customXml/itemProps28.xml><?xml version="1.0" encoding="utf-8"?>
<ds:datastoreItem xmlns:ds="http://schemas.openxmlformats.org/officeDocument/2006/customXml" ds:itemID="">
  <ds:schemaRefs/>
</ds:datastoreItem>
</file>

<file path=customXml/itemProps29.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30.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
  <ds:schemaRefs/>
</ds:datastoreItem>
</file>

<file path=customXml/itemProps5.xml><?xml version="1.0" encoding="utf-8"?>
<ds:datastoreItem xmlns:ds="http://schemas.openxmlformats.org/officeDocument/2006/customXml" ds:itemID="">
  <ds:schemaRefs/>
</ds:datastoreItem>
</file>

<file path=customXml/itemProps6.xml><?xml version="1.0" encoding="utf-8"?>
<ds:datastoreItem xmlns:ds="http://schemas.openxmlformats.org/officeDocument/2006/customXml" ds:itemID="">
  <ds:schemaRefs/>
</ds:datastoreItem>
</file>

<file path=customXml/itemProps7.xml><?xml version="1.0" encoding="utf-8"?>
<ds:datastoreItem xmlns:ds="http://schemas.openxmlformats.org/officeDocument/2006/customXml" ds:itemID="">
  <ds:schemaRefs/>
</ds:datastoreItem>
</file>

<file path=customXml/itemProps8.xml><?xml version="1.0" encoding="utf-8"?>
<ds:datastoreItem xmlns:ds="http://schemas.openxmlformats.org/officeDocument/2006/customXml" ds:itemID="">
  <ds:schemaRefs/>
</ds:datastoreItem>
</file>

<file path=customXml/itemProps9.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Application>Spire.Doc</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2026-01-20T16:07:12Z</dcterms:created>
  <dcterms:modified xsi:type="dcterms:W3CDTF">2026-01-20T08:07:15Z</dcterms:modified>
</cp:coreProperties>
</file>